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CD8D5" w14:textId="77777777" w:rsidR="00FC7FDC" w:rsidRDefault="00610FC2">
      <w:pPr>
        <w:spacing w:line="36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bookmarkStart w:id="0" w:name="_50of0kqhvcsg" w:colFirst="0" w:colLast="0"/>
      <w:bookmarkEnd w:id="0"/>
      <w:r>
        <w:rPr>
          <w:b/>
          <w:bCs/>
          <w:noProof/>
          <w:color w:val="00796B"/>
          <w:sz w:val="24"/>
          <w:szCs w:val="24"/>
        </w:rPr>
        <w:drawing>
          <wp:inline distT="0" distB="0" distL="0" distR="0" wp14:anchorId="3A3338A8" wp14:editId="5A115C79">
            <wp:extent cx="1366838" cy="1408509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838" cy="14085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E74B01" w14:textId="77777777" w:rsidR="00FC7FDC" w:rsidRDefault="00FC7FDC">
      <w:pPr>
        <w:spacing w:line="36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</w:p>
    <w:p w14:paraId="0F354739" w14:textId="77777777" w:rsidR="00FC7FDC" w:rsidRDefault="00610FC2">
      <w:pPr>
        <w:spacing w:line="36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PROYECTO DE LEY QUE MODIFICA LA LEY DE PESCA Y ACUICULTURA PARA FORTALECER LOS ESTÁNDARES DE CALIDAD Y COMPETITIVIDAD DE LA ACUICULTURA CHILENA </w:t>
      </w:r>
    </w:p>
    <w:p w14:paraId="09FA11BA" w14:textId="77777777" w:rsidR="00FC7FDC" w:rsidRDefault="00610FC2">
      <w:pPr>
        <w:pStyle w:val="Ttulo2"/>
        <w:spacing w:line="360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bookmarkStart w:id="1" w:name="_r2vrs0149oy9" w:colFirst="0" w:colLast="0"/>
      <w:bookmarkEnd w:id="1"/>
      <w:r>
        <w:rPr>
          <w:rFonts w:ascii="Cambria" w:eastAsia="Cambria" w:hAnsi="Cambria" w:cs="Cambria"/>
          <w:b/>
          <w:bCs/>
          <w:sz w:val="24"/>
          <w:szCs w:val="24"/>
        </w:rPr>
        <w:t>VISTOS</w:t>
      </w:r>
    </w:p>
    <w:p w14:paraId="5986D300" w14:textId="377F21D4" w:rsidR="00FC7FDC" w:rsidRDefault="00610FC2">
      <w:pPr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Lo dispuesto en el artículo 13 F del Decreto con Fuerza de Ley N°</w:t>
      </w:r>
      <w:r>
        <w:rPr>
          <w:rFonts w:ascii="Cambria" w:eastAsia="Cambria" w:hAnsi="Cambria" w:cs="Cambria"/>
          <w:sz w:val="24"/>
          <w:szCs w:val="24"/>
        </w:rPr>
        <w:t xml:space="preserve"> 430, de 1992, del Ministerio de Economía, Fomento y Reconstrucción, que fija el texto refundido, coordinado y sistematizado de la Ley N° 18.892, de 1989, General de Pesca y Acuicultura, incorporado por la Ley N° 20.434, y las atribuciones que la Constituc</w:t>
      </w:r>
      <w:r>
        <w:rPr>
          <w:rFonts w:ascii="Cambria" w:eastAsia="Cambria" w:hAnsi="Cambria" w:cs="Cambria"/>
          <w:sz w:val="24"/>
          <w:szCs w:val="24"/>
        </w:rPr>
        <w:t>ión Política de la República reconoce al Congreso Nacional para legislar sobre esta materia</w:t>
      </w:r>
      <w:r w:rsidR="00C30199">
        <w:rPr>
          <w:rFonts w:ascii="Cambria" w:eastAsia="Cambria" w:hAnsi="Cambria" w:cs="Cambria"/>
          <w:sz w:val="24"/>
          <w:szCs w:val="24"/>
        </w:rPr>
        <w:t>.</w:t>
      </w:r>
    </w:p>
    <w:p w14:paraId="24599D50" w14:textId="67BA490A" w:rsidR="00FC7FDC" w:rsidRDefault="00FC7F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7090F882" w14:textId="48E46D34" w:rsidR="00C30199" w:rsidRPr="00C30199" w:rsidRDefault="00C30199" w:rsidP="00C30199">
      <w:pPr>
        <w:pStyle w:val="Ttulo2"/>
        <w:spacing w:line="360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CONSIDERANDO</w:t>
      </w:r>
    </w:p>
    <w:p w14:paraId="78279F22" w14:textId="77777777" w:rsidR="00FC7FDC" w:rsidRDefault="00610FC2">
      <w:pPr>
        <w:pStyle w:val="Ttulo2"/>
        <w:spacing w:line="360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bookmarkStart w:id="2" w:name="_25y413gxoxm5" w:colFirst="0" w:colLast="0"/>
      <w:bookmarkEnd w:id="2"/>
      <w:r>
        <w:rPr>
          <w:rFonts w:ascii="Cambria" w:eastAsia="Cambria" w:hAnsi="Cambria" w:cs="Cambria"/>
          <w:b/>
          <w:bCs/>
          <w:sz w:val="24"/>
          <w:szCs w:val="24"/>
        </w:rPr>
        <w:t>1</w:t>
      </w:r>
      <w:r>
        <w:rPr>
          <w:rFonts w:ascii="Cambria" w:eastAsia="Cambria" w:hAnsi="Cambria" w:cs="Cambria"/>
          <w:b/>
          <w:bCs/>
          <w:sz w:val="24"/>
          <w:szCs w:val="24"/>
        </w:rPr>
        <w:t>. Antecedentes generales</w:t>
      </w:r>
    </w:p>
    <w:p w14:paraId="2310C4DA" w14:textId="77777777" w:rsidR="00FC7FDC" w:rsidRDefault="00610FC2">
      <w:pPr>
        <w:spacing w:before="240" w:after="240" w:line="360" w:lineRule="auto"/>
        <w:jc w:val="both"/>
      </w:pPr>
      <w:r>
        <w:rPr>
          <w:rFonts w:ascii="Cambria" w:eastAsia="Cambria" w:hAnsi="Cambria" w:cs="Cambria"/>
          <w:sz w:val="24"/>
          <w:szCs w:val="24"/>
        </w:rPr>
        <w:t>En 2025, la acuicultura chilena produjo 1.525.400 toneladas</w:t>
      </w:r>
      <w:r>
        <w:rPr>
          <w:rFonts w:ascii="Cambria" w:eastAsia="Cambria" w:hAnsi="Cambria" w:cs="Cambria"/>
          <w:sz w:val="24"/>
          <w:szCs w:val="24"/>
          <w:vertAlign w:val="superscript"/>
        </w:rPr>
        <w:footnoteReference w:id="1"/>
      </w:r>
      <w:r>
        <w:rPr>
          <w:rFonts w:ascii="Cambria" w:eastAsia="Cambria" w:hAnsi="Cambria" w:cs="Cambria"/>
          <w:sz w:val="24"/>
          <w:szCs w:val="24"/>
        </w:rPr>
        <w:t xml:space="preserve">, en su </w:t>
      </w:r>
      <w:r>
        <w:rPr>
          <w:rFonts w:ascii="Cambria" w:eastAsia="Cambria" w:hAnsi="Cambria" w:cs="Cambria"/>
          <w:sz w:val="24"/>
          <w:szCs w:val="24"/>
        </w:rPr>
        <w:t>mayoría salmónidos, consolidando al salmón como el segundo producto de exportación</w:t>
      </w:r>
      <w:r>
        <w:rPr>
          <w:rFonts w:ascii="Cambria" w:eastAsia="Cambria" w:hAnsi="Cambria" w:cs="Cambria"/>
          <w:sz w:val="24"/>
          <w:szCs w:val="24"/>
          <w:vertAlign w:val="superscript"/>
        </w:rPr>
        <w:footnoteReference w:id="2"/>
      </w:r>
      <w:r>
        <w:rPr>
          <w:rFonts w:ascii="Cambria" w:eastAsia="Cambria" w:hAnsi="Cambria" w:cs="Cambria"/>
          <w:sz w:val="24"/>
          <w:szCs w:val="24"/>
        </w:rPr>
        <w:t xml:space="preserve"> del país tras el cobre. La magnitud de esta industria hace que su competitividad futura dependa, cada vez más, de su alineación con los estándares internacionales de produc</w:t>
      </w:r>
      <w:r>
        <w:rPr>
          <w:rFonts w:ascii="Cambria" w:eastAsia="Cambria" w:hAnsi="Cambria" w:cs="Cambria"/>
          <w:sz w:val="24"/>
          <w:szCs w:val="24"/>
        </w:rPr>
        <w:t xml:space="preserve">ción. </w:t>
      </w:r>
    </w:p>
    <w:p w14:paraId="555CAF71" w14:textId="77777777" w:rsidR="00FC7FDC" w:rsidRDefault="00610FC2">
      <w:pPr>
        <w:pStyle w:val="Ttulo2"/>
        <w:spacing w:line="360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bookmarkStart w:id="3" w:name="_3wcpkqk30it9" w:colFirst="0" w:colLast="0"/>
      <w:bookmarkEnd w:id="3"/>
      <w:r>
        <w:rPr>
          <w:rFonts w:ascii="Cambria" w:eastAsia="Cambria" w:hAnsi="Cambria" w:cs="Cambria"/>
          <w:b/>
          <w:bCs/>
          <w:sz w:val="24"/>
          <w:szCs w:val="24"/>
        </w:rPr>
        <w:lastRenderedPageBreak/>
        <w:t>2. Normativa vigente</w:t>
      </w:r>
    </w:p>
    <w:p w14:paraId="5FC3707E" w14:textId="77777777" w:rsidR="00FC7FDC" w:rsidRDefault="00610FC2">
      <w:pPr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La actual ley de Pesca y Acuicultura N° 18.892, normativa principal en la materia, en su artículo 13 F dispone:</w:t>
      </w:r>
    </w:p>
    <w:p w14:paraId="67BF87EF" w14:textId="77777777" w:rsidR="00FC7FDC" w:rsidRDefault="00FC7FDC">
      <w:pPr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39CEC6D3" w14:textId="77777777" w:rsidR="00FC7FDC" w:rsidRDefault="00610FC2">
      <w:pPr>
        <w:spacing w:line="360" w:lineRule="auto"/>
        <w:ind w:left="566" w:right="57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>"La acuicultura deberá contemplar normas que resguarden el bienestar animal y procedimientos que eviten el sufrimie</w:t>
      </w:r>
      <w:r>
        <w:rPr>
          <w:rFonts w:ascii="Cambria" w:eastAsia="Cambria" w:hAnsi="Cambria" w:cs="Cambria"/>
          <w:i/>
          <w:iCs/>
          <w:sz w:val="24"/>
          <w:szCs w:val="24"/>
        </w:rPr>
        <w:t>nto innecesario."</w:t>
      </w:r>
      <w:r>
        <w:rPr>
          <w:rFonts w:ascii="Cambria" w:eastAsia="Cambria" w:hAnsi="Cambria" w:cs="Cambria"/>
          <w:i/>
          <w:iCs/>
          <w:sz w:val="24"/>
          <w:szCs w:val="24"/>
          <w:vertAlign w:val="superscript"/>
        </w:rPr>
        <w:footnoteReference w:id="3"/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4CAE4ED0" w14:textId="77777777" w:rsidR="00FC7FDC" w:rsidRDefault="00610FC2">
      <w:pPr>
        <w:spacing w:before="240" w:after="24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Se trata, sin embargo, de un mandato general que no fija estándares técnicos ni métodos exigibles. </w:t>
      </w:r>
    </w:p>
    <w:p w14:paraId="56126A50" w14:textId="77777777" w:rsidR="00FC7FDC" w:rsidRDefault="00610FC2">
      <w:pPr>
        <w:spacing w:before="240" w:after="240" w:line="360" w:lineRule="auto"/>
        <w:jc w:val="both"/>
      </w:pPr>
      <w:r>
        <w:rPr>
          <w:rFonts w:ascii="Cambria" w:eastAsia="Cambria" w:hAnsi="Cambria" w:cs="Cambria"/>
          <w:sz w:val="24"/>
          <w:szCs w:val="24"/>
        </w:rPr>
        <w:t>En un escalón jerárquico inferior, la única disposición que aborda directamente el método de sacrificio es el artículo 32 B del Reglamen</w:t>
      </w:r>
      <w:r>
        <w:rPr>
          <w:rFonts w:ascii="Cambria" w:eastAsia="Cambria" w:hAnsi="Cambria" w:cs="Cambria"/>
          <w:sz w:val="24"/>
          <w:szCs w:val="24"/>
        </w:rPr>
        <w:t xml:space="preserve">to de Medidas de Protección, Control y Erradicación de Enfermedades de Alto Riesgo para las Especies Hidrobiológicas, contenido en el D.S. N° 319 de 2001 del Ministerio de Economía, Fomento y Reconstrucción, que señala: </w:t>
      </w:r>
    </w:p>
    <w:p w14:paraId="1B85565B" w14:textId="77777777" w:rsidR="00FC7FDC" w:rsidRDefault="00610FC2">
      <w:pPr>
        <w:spacing w:before="240" w:after="240" w:line="360" w:lineRule="auto"/>
        <w:ind w:left="566" w:right="57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 xml:space="preserve">"El sacrificio de peces deberá </w:t>
      </w:r>
      <w:r>
        <w:rPr>
          <w:rFonts w:ascii="Cambria" w:eastAsia="Cambria" w:hAnsi="Cambria" w:cs="Cambria"/>
          <w:i/>
          <w:iCs/>
          <w:sz w:val="24"/>
          <w:szCs w:val="24"/>
        </w:rPr>
        <w:t>asegurar la correcta sedación o insensibilización previa al corte de branquias, evitando en todo momento el sufrimiento innecesario."</w:t>
      </w:r>
      <w:r>
        <w:rPr>
          <w:rFonts w:ascii="Cambria" w:eastAsia="Cambria" w:hAnsi="Cambria" w:cs="Cambria"/>
          <w:sz w:val="24"/>
          <w:szCs w:val="24"/>
        </w:rPr>
        <w:t xml:space="preserve">. </w:t>
      </w:r>
    </w:p>
    <w:p w14:paraId="1628D4F7" w14:textId="0DDA6B5B" w:rsidR="00FC7FDC" w:rsidRDefault="00610FC2">
      <w:pPr>
        <w:spacing w:before="240" w:after="24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Esta norma posee tres deficiencias que este proyecto corrige. Primero, está en un reglamento de control sanitario, norma</w:t>
      </w:r>
      <w:r>
        <w:rPr>
          <w:rFonts w:ascii="Cambria" w:eastAsia="Cambria" w:hAnsi="Cambria" w:cs="Cambria"/>
          <w:sz w:val="24"/>
          <w:szCs w:val="24"/>
        </w:rPr>
        <w:t>tiva que no es la adecuada si se desea ahondar en esta materia. Segundo, exigir "sedación o insensibilización" no alcanza el estándar de la OMSA, que demanda un aturdimiento con pérdida de conciencia inmediata e irreversible. Tercero, no prohíbe los método</w:t>
      </w:r>
      <w:r>
        <w:rPr>
          <w:rFonts w:ascii="Cambria" w:eastAsia="Cambria" w:hAnsi="Cambria" w:cs="Cambria"/>
          <w:sz w:val="24"/>
          <w:szCs w:val="24"/>
        </w:rPr>
        <w:t>s desestimados por dicho organismo ni fija parámetros objetivos para fiscalizar. Como consecuencia, el Servicio Nacional de Pesca y Acuicultura carece de un criterio verificable contra el cual fiscalizar.</w:t>
      </w:r>
    </w:p>
    <w:p w14:paraId="377EC938" w14:textId="77777777" w:rsidR="00FC7FDC" w:rsidRDefault="00610FC2">
      <w:pPr>
        <w:spacing w:before="240" w:after="24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 ello se suma que la infraestructura donde ocurre </w:t>
      </w:r>
      <w:r>
        <w:rPr>
          <w:rFonts w:ascii="Cambria" w:eastAsia="Cambria" w:hAnsi="Cambria" w:cs="Cambria"/>
          <w:sz w:val="24"/>
          <w:szCs w:val="24"/>
        </w:rPr>
        <w:t xml:space="preserve">la matanza se encuentra regulada por el Reglamento de Centros de Acopio y Centros de Faenamiento, contenido en el D.S. N° 49 de 2006 del Ministerio de Economía, Fomento y Reconstrucción. Dicho reglamento define el </w:t>
      </w:r>
      <w:r>
        <w:rPr>
          <w:rFonts w:ascii="Cambria" w:eastAsia="Cambria" w:hAnsi="Cambria" w:cs="Cambria"/>
          <w:sz w:val="24"/>
          <w:szCs w:val="24"/>
        </w:rPr>
        <w:lastRenderedPageBreak/>
        <w:t>centro de faenamiento como el establecimie</w:t>
      </w:r>
      <w:r>
        <w:rPr>
          <w:rFonts w:ascii="Cambria" w:eastAsia="Cambria" w:hAnsi="Cambria" w:cs="Cambria"/>
          <w:sz w:val="24"/>
          <w:szCs w:val="24"/>
        </w:rPr>
        <w:t xml:space="preserve">nto destinado al sacrificio y desangrado de los recursos, y fija condiciones previas a la muerte, ayuno, densidad máxima y tiempo de permanencia en acopio, pero no establece método de sacrificio alguno, remitiendo esa materia, precisamente, al artículo 32 </w:t>
      </w:r>
      <w:r>
        <w:rPr>
          <w:rFonts w:ascii="Cambria" w:eastAsia="Cambria" w:hAnsi="Cambria" w:cs="Cambria"/>
          <w:sz w:val="24"/>
          <w:szCs w:val="24"/>
        </w:rPr>
        <w:t>B del reglamento sanitario antes citado. De este modo, el ordenamiento vigente cuenta con una norma que regula dónde y en qué condiciones se sacrifica, pero carece de un estándar exigible sobre cómo hacerlo sin sufrimiento, confirmando que la deficiencia n</w:t>
      </w:r>
      <w:r>
        <w:rPr>
          <w:rFonts w:ascii="Cambria" w:eastAsia="Cambria" w:hAnsi="Cambria" w:cs="Cambria"/>
          <w:sz w:val="24"/>
          <w:szCs w:val="24"/>
        </w:rPr>
        <w:t>o reside en la ausencia de regulación sectorial, sino en la falta de un mandato técnico verificable sobre el aturdimiento.</w:t>
      </w:r>
    </w:p>
    <w:p w14:paraId="15FA39BF" w14:textId="77777777" w:rsidR="00FC7FDC" w:rsidRDefault="00610FC2">
      <w:pPr>
        <w:spacing w:before="240" w:after="24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Este déficit contrasta con el marco regulatorio explícito de los animales terrestres. El artículo 11 de la Ley N° 20.380</w:t>
      </w: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footnoteReference w:id="4"/>
      </w:r>
      <w:r>
        <w:rPr>
          <w:rFonts w:ascii="Cambria" w:eastAsia="Cambria" w:hAnsi="Cambria" w:cs="Cambria"/>
          <w:sz w:val="24"/>
          <w:szCs w:val="24"/>
        </w:rPr>
        <w:t xml:space="preserve"> dispone que </w:t>
      </w:r>
      <w:r>
        <w:rPr>
          <w:rFonts w:ascii="Cambria" w:eastAsia="Cambria" w:hAnsi="Cambria" w:cs="Cambria"/>
          <w:i/>
          <w:iCs/>
          <w:sz w:val="24"/>
          <w:szCs w:val="24"/>
        </w:rPr>
        <w:t>"en el beneficio y sacrificio de animales deberán emplearse métodos racionales tendientes a evitarles sufrimientos innecesarios"</w:t>
      </w:r>
      <w:r>
        <w:rPr>
          <w:rFonts w:ascii="Cambria" w:eastAsia="Cambria" w:hAnsi="Cambria" w:cs="Cambria"/>
          <w:sz w:val="24"/>
          <w:szCs w:val="24"/>
        </w:rPr>
        <w:t xml:space="preserve"> y delega en un reglamento los procedimientos técnicos para establecimientos industriales. Dicho mandato se materia</w:t>
      </w:r>
      <w:r>
        <w:rPr>
          <w:rFonts w:ascii="Cambria" w:eastAsia="Cambria" w:hAnsi="Cambria" w:cs="Cambria"/>
          <w:sz w:val="24"/>
          <w:szCs w:val="24"/>
        </w:rPr>
        <w:t>lizó en 2013 mediante el Decreto N° 29 del Ministerio de Agricultura</w:t>
      </w: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footnoteReference w:id="5"/>
      </w:r>
      <w:r>
        <w:rPr>
          <w:rFonts w:ascii="Cambria" w:eastAsia="Cambria" w:hAnsi="Cambria" w:cs="Cambria"/>
          <w:sz w:val="24"/>
          <w:szCs w:val="24"/>
        </w:rPr>
        <w:t>, que aprobó el reglamento sectorial y radicó su fiscalización en el Servicio Agrícola y Ganadero. Lo que rige para la producción pecuaria desde hace más de una década, sin embargo, no ti</w:t>
      </w:r>
      <w:r>
        <w:rPr>
          <w:rFonts w:ascii="Cambria" w:eastAsia="Cambria" w:hAnsi="Cambria" w:cs="Cambria"/>
          <w:sz w:val="24"/>
          <w:szCs w:val="24"/>
        </w:rPr>
        <w:t>ene equivalente en la acuicultura.</w:t>
      </w:r>
    </w:p>
    <w:p w14:paraId="3B86040B" w14:textId="77777777" w:rsidR="00FC7FDC" w:rsidRDefault="00610FC2">
      <w:pPr>
        <w:pStyle w:val="Ttulo3"/>
        <w:keepNext w:val="0"/>
        <w:keepLines w:val="0"/>
        <w:spacing w:before="280" w:line="360" w:lineRule="auto"/>
        <w:ind w:right="-40"/>
        <w:jc w:val="both"/>
        <w:rPr>
          <w:rFonts w:ascii="Cambria" w:eastAsia="Cambria" w:hAnsi="Cambria" w:cs="Cambria"/>
          <w:b/>
          <w:bCs/>
          <w:color w:val="000000"/>
          <w:sz w:val="26"/>
          <w:szCs w:val="26"/>
        </w:rPr>
      </w:pPr>
      <w:bookmarkStart w:id="4" w:name="_pa1vqc8lh24f" w:colFirst="0" w:colLast="0"/>
      <w:bookmarkEnd w:id="4"/>
      <w:r>
        <w:rPr>
          <w:rFonts w:ascii="Cambria" w:eastAsia="Cambria" w:hAnsi="Cambria" w:cs="Cambria"/>
          <w:b/>
          <w:bCs/>
          <w:color w:val="000000"/>
          <w:sz w:val="26"/>
          <w:szCs w:val="26"/>
        </w:rPr>
        <w:t xml:space="preserve">3. Estándar internacional </w:t>
      </w:r>
    </w:p>
    <w:p w14:paraId="1F55E18E" w14:textId="77777777" w:rsidR="00FC7FDC" w:rsidRDefault="00610FC2">
      <w:pPr>
        <w:spacing w:before="240" w:after="24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La exigencia de aturdimiento previo al sacrificio de peces de cultivo constituye un </w:t>
      </w:r>
      <w:r>
        <w:rPr>
          <w:rFonts w:ascii="Cambria" w:eastAsia="Cambria" w:hAnsi="Cambria" w:cs="Cambria"/>
          <w:sz w:val="24"/>
          <w:szCs w:val="24"/>
          <w:highlight w:val="white"/>
        </w:rPr>
        <w:t>estándar reconocido por los principales referentes normativos y de certificación.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3CBAC9F8" w14:textId="77777777" w:rsidR="00FC7FDC" w:rsidRDefault="00610FC2">
      <w:pPr>
        <w:spacing w:before="240" w:after="24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El Código Sanitario para lo</w:t>
      </w:r>
      <w:r>
        <w:rPr>
          <w:rFonts w:ascii="Cambria" w:eastAsia="Cambria" w:hAnsi="Cambria" w:cs="Cambria"/>
          <w:sz w:val="24"/>
          <w:szCs w:val="24"/>
        </w:rPr>
        <w:t>s Animales Acuáticos de la Organización Mundial de Sanidad Animal (OMSA), organización de la que Chile es miembro, dispone en su artículo 7.3.1</w:t>
      </w:r>
      <w:r>
        <w:rPr>
          <w:rFonts w:ascii="Cambria" w:eastAsia="Cambria" w:hAnsi="Cambria" w:cs="Cambria"/>
          <w:sz w:val="24"/>
          <w:szCs w:val="24"/>
          <w:vertAlign w:val="superscript"/>
        </w:rPr>
        <w:footnoteReference w:id="6"/>
      </w:r>
      <w:r>
        <w:rPr>
          <w:rFonts w:ascii="Cambria" w:eastAsia="Cambria" w:hAnsi="Cambria" w:cs="Cambria"/>
          <w:sz w:val="24"/>
          <w:szCs w:val="24"/>
        </w:rPr>
        <w:t>:</w:t>
      </w:r>
    </w:p>
    <w:p w14:paraId="64E31093" w14:textId="77777777" w:rsidR="00FC7FDC" w:rsidRDefault="00610FC2">
      <w:pPr>
        <w:spacing w:before="240" w:after="240" w:line="360" w:lineRule="auto"/>
        <w:ind w:left="600" w:right="572"/>
        <w:jc w:val="both"/>
        <w:rPr>
          <w:rFonts w:ascii="Cambria" w:eastAsia="Cambria" w:hAnsi="Cambria" w:cs="Cambria"/>
          <w:sz w:val="24"/>
          <w:szCs w:val="24"/>
          <w:vertAlign w:val="superscript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"Como principio general, se deberá aturdir a los peces de cultivo antes de darles muerte, y el método de aturd</w:t>
      </w:r>
      <w:r>
        <w:rPr>
          <w:rFonts w:ascii="Cambria" w:eastAsia="Cambria" w:hAnsi="Cambria" w:cs="Cambria"/>
          <w:i/>
          <w:iCs/>
          <w:sz w:val="24"/>
          <w:szCs w:val="24"/>
        </w:rPr>
        <w:t>imiento deberá garantizar la pérdida de conciencia inmediata e irreversible. Si el aturdimiento no es irreversible, los peces deben ser eliminados antes de que recobren conciencia."</w:t>
      </w:r>
    </w:p>
    <w:p w14:paraId="75FFBD4D" w14:textId="77777777" w:rsidR="00FC7FDC" w:rsidRDefault="00610FC2">
      <w:pPr>
        <w:spacing w:before="240" w:after="24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El artículo 7.3.6 del mismo Código</w:t>
      </w:r>
      <w:r>
        <w:rPr>
          <w:rFonts w:ascii="Cambria" w:eastAsia="Cambria" w:hAnsi="Cambria" w:cs="Cambria"/>
          <w:sz w:val="24"/>
          <w:szCs w:val="24"/>
          <w:vertAlign w:val="superscript"/>
        </w:rPr>
        <w:footnoteReference w:id="7"/>
      </w:r>
      <w:r>
        <w:rPr>
          <w:rFonts w:ascii="Cambria" w:eastAsia="Cambria" w:hAnsi="Cambria" w:cs="Cambria"/>
          <w:sz w:val="24"/>
          <w:szCs w:val="24"/>
        </w:rPr>
        <w:t xml:space="preserve">, tras describir los métodos mecánicos </w:t>
      </w:r>
      <w:r>
        <w:rPr>
          <w:rFonts w:ascii="Cambria" w:eastAsia="Cambria" w:hAnsi="Cambria" w:cs="Cambria"/>
          <w:sz w:val="24"/>
          <w:szCs w:val="24"/>
        </w:rPr>
        <w:t>y eléctricos como métodos admisibles, dispone respecto de los demás:</w:t>
      </w:r>
    </w:p>
    <w:p w14:paraId="6F0E345F" w14:textId="77777777" w:rsidR="00FC7FDC" w:rsidRDefault="00610FC2">
      <w:pPr>
        <w:spacing w:before="240" w:after="240" w:line="360" w:lineRule="auto"/>
        <w:ind w:left="600" w:right="572"/>
        <w:jc w:val="both"/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>"Otros métodos conocidos empleados para la matanza de peces son los siguientes: enfriamiento con hielo en el tanque de agua; dióxido de carbono (CO₂) en el tanque de agua; enfriamiento co</w:t>
      </w:r>
      <w:r>
        <w:rPr>
          <w:rFonts w:ascii="Cambria" w:eastAsia="Cambria" w:hAnsi="Cambria" w:cs="Cambria"/>
          <w:i/>
          <w:iCs/>
          <w:sz w:val="24"/>
          <w:szCs w:val="24"/>
        </w:rPr>
        <w:t>n hielo y CO₂ en el tanque de agua; baños de sal o amoníaco; asfixia al ser retirados del agua; sangrado sin aturdimiento. Sin embargo, se ha demostrado que estos métodos producen un bienestar precario de los peces. Por lo tanto, estos métodos no deberán u</w:t>
      </w:r>
      <w:r>
        <w:rPr>
          <w:rFonts w:ascii="Cambria" w:eastAsia="Cambria" w:hAnsi="Cambria" w:cs="Cambria"/>
          <w:i/>
          <w:iCs/>
          <w:sz w:val="24"/>
          <w:szCs w:val="24"/>
        </w:rPr>
        <w:t>tilizarse mientras sea posible utilizar los métodos descritos en los apartados 2 y 3 del presente artículo, según sea conveniente para la especie de peces."</w:t>
      </w:r>
    </w:p>
    <w:p w14:paraId="0EFC1507" w14:textId="77777777" w:rsidR="00FC7FDC" w:rsidRDefault="00610FC2">
      <w:pPr>
        <w:spacing w:before="240" w:after="24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En el plano comparado, Noruega exige el aturdimiento previo desde el 1 de enero de 2007, en virtud </w:t>
      </w:r>
      <w:r>
        <w:rPr>
          <w:rFonts w:ascii="Cambria" w:eastAsia="Cambria" w:hAnsi="Cambria" w:cs="Cambria"/>
          <w:sz w:val="24"/>
          <w:szCs w:val="24"/>
        </w:rPr>
        <w:t>del § 14 del Reglamento sobre mataderos y plantas de procesamiento para animales de acuicultura (FOR-2006-10-30-1250), que dispone, en traducción propia del original noruego:</w:t>
      </w:r>
    </w:p>
    <w:p w14:paraId="77BF7266" w14:textId="77777777" w:rsidR="00FC7FDC" w:rsidRDefault="00610FC2">
      <w:pPr>
        <w:spacing w:before="240" w:after="240" w:line="360" w:lineRule="auto"/>
        <w:ind w:left="600" w:right="572"/>
        <w:jc w:val="both"/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>"Los peces deberán ser aturdidos antes o simultáneamente al sacrificio y permanec</w:t>
      </w:r>
      <w:r>
        <w:rPr>
          <w:rFonts w:ascii="Cambria" w:eastAsia="Cambria" w:hAnsi="Cambria" w:cs="Cambria"/>
          <w:i/>
          <w:iCs/>
          <w:sz w:val="24"/>
          <w:szCs w:val="24"/>
        </w:rPr>
        <w:t>er aturdidos hasta que sobrevenga la muerte. El aturdimiento se realizará mediante un método adecuado que no cause al pez estrés o dolor significativo. Cuando sea necesario, el pez deberá ser sedado o inmovilizado de manera apropiada antes del aturdimiento</w:t>
      </w:r>
      <w:r>
        <w:rPr>
          <w:rFonts w:ascii="Cambria" w:eastAsia="Cambria" w:hAnsi="Cambria" w:cs="Cambria"/>
          <w:i/>
          <w:iCs/>
          <w:sz w:val="24"/>
          <w:szCs w:val="24"/>
        </w:rPr>
        <w:t>.</w:t>
      </w:r>
    </w:p>
    <w:p w14:paraId="0694B07D" w14:textId="77777777" w:rsidR="00FC7FDC" w:rsidRDefault="00610FC2">
      <w:pPr>
        <w:spacing w:before="240" w:after="240" w:line="360" w:lineRule="auto"/>
        <w:ind w:left="600" w:right="6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Está prohibido aturdir peces mediante gas, incluido el CO₂, u otras sustancias que bloqueen la captación de oxígeno, así como sal, cloruro de amonio u otros productos químicos de efecto similar."</w:t>
      </w:r>
      <w:r>
        <w:rPr>
          <w:rFonts w:ascii="Cambria" w:eastAsia="Cambria" w:hAnsi="Cambria" w:cs="Cambria"/>
          <w:i/>
          <w:iCs/>
          <w:sz w:val="24"/>
          <w:szCs w:val="24"/>
          <w:vertAlign w:val="superscript"/>
        </w:rPr>
        <w:footnoteReference w:id="8"/>
      </w:r>
    </w:p>
    <w:p w14:paraId="11436170" w14:textId="77777777" w:rsidR="00FC7FDC" w:rsidRDefault="00610FC2">
      <w:pPr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Su autoridad sanitaria trabaja además en un reglamento </w:t>
      </w:r>
      <w:r>
        <w:rPr>
          <w:rFonts w:ascii="Cambria" w:eastAsia="Cambria" w:hAnsi="Cambria" w:cs="Cambria"/>
          <w:sz w:val="24"/>
          <w:szCs w:val="24"/>
        </w:rPr>
        <w:t>consolidado de bienestar en acuicultura, con entrada en vigencia prevista para 2027.</w:t>
      </w:r>
      <w:r>
        <w:rPr>
          <w:rFonts w:ascii="Cambria" w:eastAsia="Cambria" w:hAnsi="Cambria" w:cs="Cambria"/>
          <w:sz w:val="24"/>
          <w:szCs w:val="24"/>
          <w:vertAlign w:val="superscript"/>
        </w:rPr>
        <w:footnoteReference w:id="9"/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60FDB7BD" w14:textId="77777777" w:rsidR="00FC7FDC" w:rsidRDefault="00FC7FDC">
      <w:pPr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603E4B84" w14:textId="77777777" w:rsidR="00F37B34" w:rsidRDefault="00610FC2" w:rsidP="00F37B34">
      <w:pPr>
        <w:spacing w:line="360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4. Competitividad, certeza jurídica y riesgo reputacional</w:t>
      </w:r>
      <w:bookmarkStart w:id="5" w:name="_xf9pi79kd72f" w:colFirst="0" w:colLast="0"/>
      <w:bookmarkEnd w:id="5"/>
    </w:p>
    <w:p w14:paraId="736BE323" w14:textId="77777777" w:rsidR="00F37B34" w:rsidRDefault="00F37B34" w:rsidP="00F37B34">
      <w:pPr>
        <w:spacing w:line="360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14:paraId="17DB14EE" w14:textId="4743143A" w:rsidR="00FC7FDC" w:rsidRPr="00F37B34" w:rsidRDefault="00610FC2" w:rsidP="00F37B34">
      <w:pPr>
        <w:spacing w:line="360" w:lineRule="auto"/>
        <w:jc w:val="both"/>
      </w:pPr>
      <w:r>
        <w:rPr>
          <w:rFonts w:ascii="Cambria" w:eastAsia="Cambria" w:hAnsi="Cambria" w:cs="Cambria"/>
          <w:sz w:val="24"/>
          <w:szCs w:val="24"/>
        </w:rPr>
        <w:t>La norma propuesta resguarda la competitividad chilena frente a exigencias internacionales. Es requerida por certificaciones globales como el Aquaculture Stewardship Council (ASC)</w:t>
      </w: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footnoteReference w:id="10"/>
      </w:r>
      <w:r>
        <w:rPr>
          <w:rFonts w:ascii="Cambria" w:eastAsia="Cambria" w:hAnsi="Cambria" w:cs="Cambria"/>
          <w:sz w:val="24"/>
          <w:szCs w:val="24"/>
        </w:rPr>
        <w:t xml:space="preserve"> y las Best Aquaculture Practices (BAP) de la Global Seafood Alliance (GSA)</w:t>
      </w: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footnoteReference w:id="11"/>
      </w:r>
      <w:r>
        <w:rPr>
          <w:rFonts w:ascii="Cambria" w:eastAsia="Cambria" w:hAnsi="Cambria" w:cs="Cambria"/>
          <w:sz w:val="24"/>
          <w:szCs w:val="24"/>
        </w:rPr>
        <w:t>, además de ser impulsada por compradores privados que concentran los despachos de salmón chileno. En Estados Unidos, que absorbe cerca del 40% de los envíos</w:t>
      </w: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footnoteReference w:id="12"/>
      </w:r>
      <w:r>
        <w:rPr>
          <w:rFonts w:ascii="Cambria" w:eastAsia="Cambria" w:hAnsi="Cambria" w:cs="Cambria"/>
          <w:sz w:val="24"/>
          <w:szCs w:val="24"/>
        </w:rPr>
        <w:t>, corporaciones como Costco, Disney, Giant Eagle, Aramark/Avendra, Beaver Street Fisheries, Acme S</w:t>
      </w:r>
      <w:r>
        <w:rPr>
          <w:rFonts w:ascii="Cambria" w:eastAsia="Cambria" w:hAnsi="Cambria" w:cs="Cambria"/>
          <w:sz w:val="24"/>
          <w:szCs w:val="24"/>
        </w:rPr>
        <w:t>moked Fish Corporation, Sam's Club, Sysco, Holland America y High Liner Foods han verificado en Chile estos criterios</w:t>
      </w: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footnoteReference w:id="13"/>
      </w:r>
      <w:r>
        <w:rPr>
          <w:rFonts w:ascii="Cambria" w:eastAsia="Cambria" w:hAnsi="Cambria" w:cs="Cambria"/>
          <w:sz w:val="24"/>
          <w:szCs w:val="24"/>
        </w:rPr>
        <w:t xml:space="preserve">. Pese a que Estados Unidos, Japón o Brasil no lo exigen para el ingreso, la </w:t>
      </w:r>
      <w:r>
        <w:rPr>
          <w:rFonts w:ascii="Cambria" w:eastAsia="Cambria" w:hAnsi="Cambria" w:cs="Cambria"/>
          <w:sz w:val="24"/>
          <w:szCs w:val="24"/>
        </w:rPr>
        <w:lastRenderedPageBreak/>
        <w:t>preferencia de los compradores por proveedores que cumplen el</w:t>
      </w:r>
      <w:r>
        <w:rPr>
          <w:rFonts w:ascii="Cambria" w:eastAsia="Cambria" w:hAnsi="Cambria" w:cs="Cambria"/>
          <w:sz w:val="24"/>
          <w:szCs w:val="24"/>
        </w:rPr>
        <w:t xml:space="preserve"> aturdimiento es inequívoca.</w:t>
      </w:r>
    </w:p>
    <w:p w14:paraId="4ABEB592" w14:textId="77777777" w:rsidR="00FC7FDC" w:rsidRDefault="00610FC2">
      <w:pPr>
        <w:pStyle w:val="Ttulo2"/>
        <w:spacing w:before="240" w:after="24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6" w:name="_3ko0x8c2jjrk" w:colFirst="0" w:colLast="0"/>
      <w:bookmarkEnd w:id="6"/>
      <w:r>
        <w:rPr>
          <w:rFonts w:ascii="Cambria" w:eastAsia="Cambria" w:hAnsi="Cambria" w:cs="Cambria"/>
          <w:sz w:val="24"/>
          <w:szCs w:val="24"/>
        </w:rPr>
        <w:t>Se prevé una tendencia similar en la Unión Europea, cuya Comisión revisa la normativa de bienestar animal para exigir el aturdimiento de peces de cultivo, destacando al salmón en sus mandatos a la EFSA</w:t>
      </w:r>
      <w:r>
        <w:rPr>
          <w:rFonts w:ascii="Cambria" w:eastAsia="Cambria" w:hAnsi="Cambria" w:cs="Cambria"/>
          <w:sz w:val="24"/>
          <w:szCs w:val="24"/>
          <w:vertAlign w:val="superscript"/>
        </w:rPr>
        <w:footnoteReference w:id="14"/>
      </w:r>
      <w:r>
        <w:rPr>
          <w:rFonts w:ascii="Cambria" w:eastAsia="Cambria" w:hAnsi="Cambria" w:cs="Cambria"/>
          <w:sz w:val="24"/>
          <w:szCs w:val="24"/>
        </w:rPr>
        <w:t>. Aunque la reforma se ap</w:t>
      </w:r>
      <w:r>
        <w:rPr>
          <w:rFonts w:ascii="Cambria" w:eastAsia="Cambria" w:hAnsi="Cambria" w:cs="Cambria"/>
          <w:sz w:val="24"/>
          <w:szCs w:val="24"/>
        </w:rPr>
        <w:t>lazó para fines de 2026, marca una orientación clara. Legislar anticipadamente protege los flujos comerciales y facilita la expansión en ese mercado, actualmente liderado por Noruega.</w:t>
      </w:r>
    </w:p>
    <w:p w14:paraId="11486F7B" w14:textId="77777777" w:rsidR="00FC7FDC" w:rsidRDefault="00610FC2">
      <w:pPr>
        <w:pStyle w:val="Ttulo2"/>
        <w:spacing w:before="240" w:after="240" w:line="360" w:lineRule="auto"/>
        <w:jc w:val="both"/>
        <w:rPr>
          <w:rFonts w:ascii="Cambria" w:eastAsia="Cambria" w:hAnsi="Cambria" w:cs="Cambria"/>
          <w:sz w:val="24"/>
          <w:szCs w:val="24"/>
        </w:rPr>
      </w:pPr>
      <w:bookmarkStart w:id="7" w:name="_j66repw0g188" w:colFirst="0" w:colLast="0"/>
      <w:bookmarkEnd w:id="7"/>
      <w:r>
        <w:rPr>
          <w:rFonts w:ascii="Cambria" w:eastAsia="Cambria" w:hAnsi="Cambria" w:cs="Cambria"/>
          <w:sz w:val="24"/>
          <w:szCs w:val="24"/>
        </w:rPr>
        <w:t>En conclusión, adoptar estos estándares ofrece ventajas competitivas. Po</w:t>
      </w:r>
      <w:r>
        <w:rPr>
          <w:rFonts w:ascii="Cambria" w:eastAsia="Cambria" w:hAnsi="Cambria" w:cs="Cambria"/>
          <w:sz w:val="24"/>
          <w:szCs w:val="24"/>
        </w:rPr>
        <w:t>r un lado, formaliza una práctica voluntaria ya consolidada en la industria chilena con un costo de adecuación acotado y un beneficio reputacional a nivel país. Por otro, resguarda el valor del producto, pues la evidencia científica demuestra que el estrés</w:t>
      </w:r>
      <w:r>
        <w:rPr>
          <w:rFonts w:ascii="Cambria" w:eastAsia="Cambria" w:hAnsi="Cambria" w:cs="Cambria"/>
          <w:sz w:val="24"/>
          <w:szCs w:val="24"/>
        </w:rPr>
        <w:t xml:space="preserve"> previo a la matanza deteriora la carne, mientras que una insensibilización adecuada preserva su consistencia, color y vida útil</w:t>
      </w: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footnoteReference w:id="15"/>
      </w:r>
      <w:r>
        <w:rPr>
          <w:rFonts w:ascii="Cambria" w:eastAsia="Cambria" w:hAnsi="Cambria" w:cs="Cambria"/>
          <w:sz w:val="24"/>
          <w:szCs w:val="24"/>
        </w:rPr>
        <w:t>. Así, esta regulación fija una base uniforme que eleva la calidad y competitividad, evitando el riesgo de rezagarse ante paíse</w:t>
      </w:r>
      <w:r>
        <w:rPr>
          <w:rFonts w:ascii="Cambria" w:eastAsia="Cambria" w:hAnsi="Cambria" w:cs="Cambria"/>
          <w:sz w:val="24"/>
          <w:szCs w:val="24"/>
        </w:rPr>
        <w:t>s competidores que ya aplican este estándar que también considera parámetros asociados al bienestar animal, tendencia respaldada por la opinión pública nacional</w:t>
      </w:r>
      <w:r>
        <w:rPr>
          <w:rFonts w:ascii="Cambria" w:eastAsia="Cambria" w:hAnsi="Cambria" w:cs="Cambria"/>
          <w:sz w:val="24"/>
          <w:szCs w:val="24"/>
          <w:vertAlign w:val="superscript"/>
        </w:rPr>
        <w:footnoteReference w:id="16"/>
      </w:r>
      <w:r>
        <w:rPr>
          <w:rFonts w:ascii="Cambria" w:eastAsia="Cambria" w:hAnsi="Cambria" w:cs="Cambria"/>
          <w:sz w:val="24"/>
          <w:szCs w:val="24"/>
        </w:rPr>
        <w:t>.</w:t>
      </w:r>
    </w:p>
    <w:p w14:paraId="22E97DDA" w14:textId="40E1E48A" w:rsidR="00FC7FDC" w:rsidRDefault="00AC3FFA">
      <w:pPr>
        <w:pStyle w:val="Ttulo2"/>
        <w:spacing w:line="360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bookmarkStart w:id="8" w:name="_d4ysb1dr7vxm" w:colFirst="0" w:colLast="0"/>
      <w:bookmarkEnd w:id="8"/>
      <w:r>
        <w:rPr>
          <w:rFonts w:ascii="Cambria" w:eastAsia="Cambria" w:hAnsi="Cambria" w:cs="Cambria"/>
          <w:b/>
          <w:bCs/>
          <w:sz w:val="24"/>
          <w:szCs w:val="24"/>
        </w:rPr>
        <w:t xml:space="preserve">5. </w:t>
      </w:r>
      <w:r w:rsidR="00610FC2">
        <w:rPr>
          <w:rFonts w:ascii="Cambria" w:eastAsia="Cambria" w:hAnsi="Cambria" w:cs="Cambria"/>
          <w:b/>
          <w:bCs/>
          <w:sz w:val="24"/>
          <w:szCs w:val="24"/>
        </w:rPr>
        <w:t>Idea matriz</w:t>
      </w:r>
    </w:p>
    <w:p w14:paraId="4D9809A7" w14:textId="3551F9B9" w:rsidR="00F37B34" w:rsidRDefault="00610FC2" w:rsidP="00F37B34">
      <w:pPr>
        <w:spacing w:line="360" w:lineRule="auto"/>
        <w:jc w:val="both"/>
      </w:pPr>
      <w:r>
        <w:rPr>
          <w:rFonts w:ascii="Cambria" w:eastAsia="Cambria" w:hAnsi="Cambria" w:cs="Cambria"/>
          <w:sz w:val="24"/>
          <w:szCs w:val="24"/>
        </w:rPr>
        <w:t xml:space="preserve">Establece la obligación de aturdimiento efectivo en peces de cultivo antes de su </w:t>
      </w:r>
      <w:r>
        <w:rPr>
          <w:rFonts w:ascii="Cambria" w:eastAsia="Cambria" w:hAnsi="Cambria" w:cs="Cambria"/>
          <w:sz w:val="24"/>
          <w:szCs w:val="24"/>
        </w:rPr>
        <w:t>sacrificio. Prohíbe métodos inadecuados y mandata al Ministerio competente regular las condiciones técnicas por especie con vigencia gradual.</w:t>
      </w:r>
    </w:p>
    <w:p w14:paraId="0D7BB440" w14:textId="77777777" w:rsidR="00F37B34" w:rsidRPr="00EB70D6" w:rsidRDefault="00F37B34" w:rsidP="00F37B34">
      <w:pPr>
        <w:spacing w:before="120" w:line="360" w:lineRule="auto"/>
        <w:ind w:right="20"/>
        <w:jc w:val="both"/>
        <w:rPr>
          <w:rFonts w:asciiTheme="minorHAnsi" w:hAnsiTheme="minorHAnsi"/>
          <w:sz w:val="24"/>
          <w:szCs w:val="24"/>
        </w:rPr>
      </w:pPr>
      <w:r w:rsidRPr="00EB70D6">
        <w:rPr>
          <w:rFonts w:asciiTheme="minorHAnsi" w:hAnsiTheme="minorHAnsi"/>
          <w:sz w:val="24"/>
          <w:szCs w:val="24"/>
        </w:rPr>
        <w:t>Por los motivos aquí expuestos, las Diputadas y los Diputados ﬁrmantes proponemos a la Honorable Cámara de Diputados y Diputadas el siguiente:</w:t>
      </w:r>
    </w:p>
    <w:p w14:paraId="086107FA" w14:textId="77777777" w:rsidR="00F37B34" w:rsidRDefault="00F37B34" w:rsidP="00F37B34">
      <w:pPr>
        <w:spacing w:line="360" w:lineRule="auto"/>
        <w:jc w:val="both"/>
      </w:pPr>
    </w:p>
    <w:p w14:paraId="73DB395B" w14:textId="3DD87D76" w:rsidR="00F37B34" w:rsidRPr="00F37B34" w:rsidRDefault="00F37B34" w:rsidP="00F37B34">
      <w:pPr>
        <w:spacing w:before="240" w:after="240" w:line="36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EB70D6">
        <w:rPr>
          <w:rFonts w:asciiTheme="minorHAnsi" w:hAnsiTheme="minorHAnsi"/>
          <w:b/>
          <w:bCs/>
          <w:sz w:val="24"/>
          <w:szCs w:val="24"/>
        </w:rPr>
        <w:lastRenderedPageBreak/>
        <w:t>PROYECTO DE LEY</w:t>
      </w:r>
    </w:p>
    <w:p w14:paraId="491FCA62" w14:textId="520965ED" w:rsidR="00FC7FDC" w:rsidRPr="00F37B34" w:rsidRDefault="00610FC2" w:rsidP="00F37B34">
      <w:pPr>
        <w:spacing w:line="360" w:lineRule="auto"/>
        <w:jc w:val="both"/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Artículo único. </w:t>
      </w:r>
      <w:r>
        <w:rPr>
          <w:rFonts w:ascii="Cambria" w:eastAsia="Cambria" w:hAnsi="Cambria" w:cs="Cambria"/>
          <w:sz w:val="24"/>
          <w:szCs w:val="24"/>
        </w:rPr>
        <w:t>Modifíquese el Decreto con Fuerza de Ley 430, que fija el texto refundido, coordinado y sistematizado de la Ley N°</w:t>
      </w:r>
      <w:r>
        <w:rPr>
          <w:rFonts w:ascii="Cambria" w:eastAsia="Cambria" w:hAnsi="Cambria" w:cs="Cambria"/>
          <w:sz w:val="24"/>
          <w:szCs w:val="24"/>
        </w:rPr>
        <w:t xml:space="preserve"> 18.892, de 1989 y sus modificaciones, Ley General de Pesca y Acuicultura, en los siguientes términos:</w:t>
      </w:r>
    </w:p>
    <w:p w14:paraId="63A3E4FF" w14:textId="77777777" w:rsidR="00FC7FDC" w:rsidRDefault="00610FC2">
      <w:pPr>
        <w:spacing w:after="200" w:line="360" w:lineRule="auto"/>
        <w:ind w:left="720" w:right="14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1. Agréganse los siguientes incisos segundo, tercero y cuarto, nuevos, al artículo 13 F, a continuación del punto aparte que pasa a ser un punto seguido,</w:t>
      </w:r>
      <w:r>
        <w:rPr>
          <w:rFonts w:ascii="Cambria" w:eastAsia="Cambria" w:hAnsi="Cambria" w:cs="Cambria"/>
          <w:sz w:val="24"/>
          <w:szCs w:val="24"/>
        </w:rPr>
        <w:t xml:space="preserve"> del siguiente tenor:</w:t>
      </w:r>
    </w:p>
    <w:p w14:paraId="2194EAD9" w14:textId="77777777" w:rsidR="00FC7FDC" w:rsidRDefault="00610FC2" w:rsidP="002F4B26">
      <w:pPr>
        <w:spacing w:after="200" w:line="360" w:lineRule="auto"/>
        <w:ind w:right="140"/>
        <w:jc w:val="both"/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>“Los peces de cultivo destinados a consumo humano, con exclusión de aquellos provenientes de la Acuicultura de Pequeña Escala, deberán ser aturdidos antes de ser sacrificados, mediante métodos que garanticen de manera inmediata e irre</w:t>
      </w:r>
      <w:r>
        <w:rPr>
          <w:rFonts w:ascii="Cambria" w:eastAsia="Cambria" w:hAnsi="Cambria" w:cs="Cambria"/>
          <w:i/>
          <w:iCs/>
          <w:sz w:val="24"/>
          <w:szCs w:val="24"/>
        </w:rPr>
        <w:t>versible la pérdida de conciencia, con el fin de evitarles sufrimientos innecesarios.”</w:t>
      </w:r>
    </w:p>
    <w:p w14:paraId="690242FF" w14:textId="77777777" w:rsidR="00FC7FDC" w:rsidRDefault="00610FC2" w:rsidP="002F4B26">
      <w:pPr>
        <w:spacing w:after="200" w:line="360" w:lineRule="auto"/>
        <w:ind w:right="140"/>
        <w:jc w:val="both"/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 xml:space="preserve">“Un reglamento dictado por el Ministerio competente establecerá las condiciones técnicas específicas para la implementación de los sistemas de aturdimiento, teniendo en </w:t>
      </w:r>
      <w:r>
        <w:rPr>
          <w:rFonts w:ascii="Cambria" w:eastAsia="Cambria" w:hAnsi="Cambria" w:cs="Cambria"/>
          <w:i/>
          <w:iCs/>
          <w:sz w:val="24"/>
          <w:szCs w:val="24"/>
        </w:rPr>
        <w:t>cuenta la información disponible relativa a cada especie concreta. La exigibilidad de las obligaciones establecidas en el presente artículo no estará supeditada a la dictación de dicho reglamento.”</w:t>
      </w:r>
    </w:p>
    <w:p w14:paraId="16D12B5F" w14:textId="77777777" w:rsidR="00FC7FDC" w:rsidRDefault="00610FC2" w:rsidP="002F4B26">
      <w:pPr>
        <w:spacing w:line="360" w:lineRule="auto"/>
        <w:jc w:val="both"/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>“Se prohíbe el uso de los siguientes métodos de sacrificio</w:t>
      </w:r>
      <w:r>
        <w:rPr>
          <w:rFonts w:ascii="Cambria" w:eastAsia="Cambria" w:hAnsi="Cambria" w:cs="Cambria"/>
          <w:i/>
          <w:iCs/>
          <w:sz w:val="24"/>
          <w:szCs w:val="24"/>
        </w:rPr>
        <w:t xml:space="preserve"> por considerarse inadecuados para prevenir el sufrimiento animal: asfixia en aire, asfixia o enfriamiento en hielo; exposición a dióxido de carbono (CO₂) disuelto en el tanque de agua; los baños de sal, de amoníaco o de cloruro de amonio; y sangrado sin a</w:t>
      </w:r>
      <w:r>
        <w:rPr>
          <w:rFonts w:ascii="Cambria" w:eastAsia="Cambria" w:hAnsi="Cambria" w:cs="Cambria"/>
          <w:i/>
          <w:iCs/>
          <w:sz w:val="24"/>
          <w:szCs w:val="24"/>
        </w:rPr>
        <w:t xml:space="preserve">turdimiento”. </w:t>
      </w:r>
    </w:p>
    <w:p w14:paraId="7179A337" w14:textId="77777777" w:rsidR="00FC7FDC" w:rsidRDefault="00FC7FDC">
      <w:pPr>
        <w:spacing w:line="360" w:lineRule="auto"/>
        <w:ind w:left="720"/>
        <w:jc w:val="both"/>
        <w:rPr>
          <w:rFonts w:ascii="Cambria" w:eastAsia="Cambria" w:hAnsi="Cambria" w:cs="Cambria"/>
          <w:i/>
          <w:iCs/>
          <w:sz w:val="24"/>
          <w:szCs w:val="24"/>
        </w:rPr>
      </w:pPr>
    </w:p>
    <w:p w14:paraId="62776EAA" w14:textId="77777777" w:rsidR="00FC7FDC" w:rsidRDefault="00610FC2">
      <w:pPr>
        <w:spacing w:after="240" w:line="360" w:lineRule="auto"/>
        <w:ind w:left="720" w:right="526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2. Incorpórase el siguiente artículo transitorio, nuevo:</w:t>
      </w:r>
    </w:p>
    <w:p w14:paraId="1ADD4900" w14:textId="77777777" w:rsidR="00FC7FDC" w:rsidRDefault="00610FC2" w:rsidP="002F4B26">
      <w:pPr>
        <w:spacing w:after="240" w:line="360" w:lineRule="auto"/>
        <w:ind w:right="526"/>
        <w:jc w:val="both"/>
        <w:rPr>
          <w:rFonts w:ascii="Cambria" w:eastAsia="Cambria" w:hAnsi="Cambria" w:cs="Cambria"/>
          <w:i/>
          <w:iCs/>
          <w:sz w:val="24"/>
          <w:szCs w:val="24"/>
        </w:rPr>
      </w:pPr>
      <w:bookmarkStart w:id="9" w:name="_GoBack"/>
      <w:bookmarkEnd w:id="9"/>
      <w:r>
        <w:rPr>
          <w:rFonts w:ascii="Cambria" w:eastAsia="Cambria" w:hAnsi="Cambria" w:cs="Cambria"/>
          <w:i/>
          <w:iCs/>
          <w:sz w:val="24"/>
          <w:szCs w:val="24"/>
        </w:rPr>
        <w:t>“Las disposiciones contenidas en los incisos segundo, tercero y cuarto del artículo 13 F entrarán en vigencia en el plazo de 3 años contados desde la publicación de esta Ley. El regla</w:t>
      </w:r>
      <w:r>
        <w:rPr>
          <w:rFonts w:ascii="Cambria" w:eastAsia="Cambria" w:hAnsi="Cambria" w:cs="Cambria"/>
          <w:i/>
          <w:iCs/>
          <w:sz w:val="24"/>
          <w:szCs w:val="24"/>
        </w:rPr>
        <w:t xml:space="preserve">mento al que se refiere el inciso tercero del artículo 13 F, deberá dictarse en un plazo máximo de 6 meses contados desde la publicación de la presente ley en el Diario Oficial.” </w:t>
      </w:r>
    </w:p>
    <w:p w14:paraId="3646454A" w14:textId="77777777" w:rsidR="00FC7FDC" w:rsidRDefault="00FC7FDC">
      <w:pPr>
        <w:spacing w:after="240" w:line="360" w:lineRule="auto"/>
        <w:ind w:left="720" w:right="526"/>
        <w:jc w:val="both"/>
        <w:rPr>
          <w:rFonts w:ascii="Cambria" w:eastAsia="Cambria" w:hAnsi="Cambria" w:cs="Cambria"/>
          <w:i/>
          <w:iCs/>
          <w:sz w:val="24"/>
          <w:szCs w:val="24"/>
        </w:rPr>
      </w:pPr>
    </w:p>
    <w:p w14:paraId="40DCFBE1" w14:textId="77777777" w:rsidR="00FC7FDC" w:rsidRDefault="00FC7FDC">
      <w:pPr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2917374A" w14:textId="77777777" w:rsidR="00F37B34" w:rsidRDefault="00F37B34">
      <w:pPr>
        <w:spacing w:line="36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</w:p>
    <w:p w14:paraId="78B7B1F7" w14:textId="24E61097" w:rsidR="00FC7FDC" w:rsidRDefault="00610FC2">
      <w:pPr>
        <w:spacing w:line="36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H. D. MARISELA SANTIBÁÑEZ NOVOA</w:t>
      </w:r>
    </w:p>
    <w:sectPr w:rsidR="00FC7FD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F15D8" w14:textId="77777777" w:rsidR="00610FC2" w:rsidRDefault="00610FC2">
      <w:pPr>
        <w:spacing w:line="240" w:lineRule="auto"/>
      </w:pPr>
      <w:r>
        <w:separator/>
      </w:r>
    </w:p>
  </w:endnote>
  <w:endnote w:type="continuationSeparator" w:id="0">
    <w:p w14:paraId="2826E2D2" w14:textId="77777777" w:rsidR="00610FC2" w:rsidRDefault="00610F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FC312" w14:textId="77777777" w:rsidR="00610FC2" w:rsidRDefault="00610FC2">
      <w:pPr>
        <w:spacing w:line="240" w:lineRule="auto"/>
      </w:pPr>
      <w:r>
        <w:separator/>
      </w:r>
    </w:p>
  </w:footnote>
  <w:footnote w:type="continuationSeparator" w:id="0">
    <w:p w14:paraId="75575706" w14:textId="77777777" w:rsidR="00610FC2" w:rsidRDefault="00610FC2">
      <w:pPr>
        <w:spacing w:line="240" w:lineRule="auto"/>
      </w:pPr>
      <w:r>
        <w:continuationSeparator/>
      </w:r>
    </w:p>
  </w:footnote>
  <w:footnote w:id="1">
    <w:p w14:paraId="6D75FC6D" w14:textId="77777777" w:rsidR="00FC7FDC" w:rsidRDefault="00610FC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Servicio Nacional de Pesca y Acuicultura (Sernapesca), Anuario Estadístico de Pesca y Acuicultura 2025.</w:t>
      </w:r>
      <w:r>
        <w:fldChar w:fldCharType="begin"/>
      </w:r>
      <w:r>
        <w:instrText xml:space="preserve"> HYPERLINK "https://www.sernapesca.cl/informacion-utilidad/anuarios-estadisticos-de-pesca-y-acuicultura/" \h </w:instrText>
      </w:r>
      <w:r>
        <w:fldChar w:fldCharType="separate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end"/>
      </w:r>
      <w:hyperlink r:id="rId1">
        <w:r>
          <w:rPr>
            <w:color w:val="1155CC"/>
            <w:sz w:val="20"/>
            <w:szCs w:val="20"/>
            <w:u w:val="single"/>
          </w:rPr>
          <w:t>https://www.sernapesca.cl/informa</w:t>
        </w:r>
        <w:r>
          <w:rPr>
            <w:color w:val="1155CC"/>
            <w:sz w:val="20"/>
            <w:szCs w:val="20"/>
            <w:u w:val="single"/>
          </w:rPr>
          <w:t>cion-utilidad/anuarios-estadisticos-de-pesca-y-acuicultura/</w:t>
        </w:r>
      </w:hyperlink>
      <w:r>
        <w:rPr>
          <w:sz w:val="20"/>
          <w:szCs w:val="20"/>
        </w:rPr>
        <w:t xml:space="preserve"> [consultado el 21 de julio de 2026]. </w:t>
      </w:r>
    </w:p>
  </w:footnote>
  <w:footnote w:id="2">
    <w:p w14:paraId="6261D6B5" w14:textId="77777777" w:rsidR="00FC7FDC" w:rsidRDefault="00610FC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Consejo del Salmón, "Exportaciones de salmón en 2025 confirman escenario de estancamiento productivo," febrero de 2026.</w:t>
      </w:r>
      <w:r>
        <w:fldChar w:fldCharType="begin"/>
      </w:r>
      <w:r>
        <w:instrText xml:space="preserve"> HYPERLINK "https://www.consejodels</w:instrText>
      </w:r>
      <w:r>
        <w:instrText xml:space="preserve">almon.cl/exportaciones-de-salmon-en-2025-confirman-escenario-de-estancamiento-productivo/" \h </w:instrText>
      </w:r>
      <w:r>
        <w:fldChar w:fldCharType="separate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end"/>
      </w:r>
      <w:hyperlink r:id="rId2">
        <w:r>
          <w:rPr>
            <w:color w:val="1155CC"/>
            <w:sz w:val="20"/>
            <w:szCs w:val="20"/>
            <w:u w:val="single"/>
          </w:rPr>
          <w:t>https://www.consejodelsalmon</w:t>
        </w:r>
        <w:r>
          <w:rPr>
            <w:color w:val="1155CC"/>
            <w:sz w:val="20"/>
            <w:szCs w:val="20"/>
            <w:u w:val="single"/>
          </w:rPr>
          <w:t>.cl/exportaciones-de-salmon-en-2025-confirman-escenario-de-estancamiento-productivo/</w:t>
        </w:r>
      </w:hyperlink>
      <w:r>
        <w:rPr>
          <w:sz w:val="20"/>
          <w:szCs w:val="20"/>
        </w:rPr>
        <w:t xml:space="preserve"> [consultado el 21 de julio de 2026]. </w:t>
      </w:r>
    </w:p>
  </w:footnote>
  <w:footnote w:id="3">
    <w:p w14:paraId="5E76DA5C" w14:textId="77777777" w:rsidR="00FC7FDC" w:rsidRDefault="00610FC2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Ley N° 20.434, que modifica la Ley N° 18.892, General de Pesca y Acuicultura, en materia de acuicultura. Texto verificado en Biblio</w:t>
      </w:r>
      <w:r>
        <w:rPr>
          <w:sz w:val="20"/>
          <w:szCs w:val="20"/>
        </w:rPr>
        <w:t>teca del Congreso Nacional,</w:t>
      </w:r>
    </w:p>
    <w:p w14:paraId="10A3D7E3" w14:textId="77777777" w:rsidR="00FC7FDC" w:rsidRDefault="00610FC2">
      <w:pPr>
        <w:spacing w:line="240" w:lineRule="auto"/>
        <w:jc w:val="both"/>
        <w:rPr>
          <w:sz w:val="20"/>
          <w:szCs w:val="20"/>
        </w:rPr>
      </w:pPr>
      <w:hyperlink r:id="rId3">
        <w:r>
          <w:rPr>
            <w:color w:val="1155CC"/>
            <w:sz w:val="20"/>
            <w:szCs w:val="20"/>
            <w:u w:val="single"/>
          </w:rPr>
          <w:t>https://www.bcn.cl/leychile/navegar?idNorma=1012014</w:t>
        </w:r>
      </w:hyperlink>
      <w:r>
        <w:rPr>
          <w:sz w:val="20"/>
          <w:szCs w:val="20"/>
        </w:rPr>
        <w:t xml:space="preserve"> [consultado el 21 de julio de 2026].</w:t>
      </w:r>
    </w:p>
  </w:footnote>
  <w:footnote w:id="4">
    <w:p w14:paraId="789DD87B" w14:textId="77777777" w:rsidR="00FC7FDC" w:rsidRDefault="00610F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Ley N°</w:t>
      </w:r>
      <w:r>
        <w:rPr>
          <w:color w:val="000000"/>
          <w:sz w:val="20"/>
          <w:szCs w:val="20"/>
        </w:rPr>
        <w:t xml:space="preserve"> 20.380, sobre Protección de Animales, artículo 11. Texto verificado en Biblioteca del Congreso Nacional,</w:t>
      </w:r>
      <w:r>
        <w:fldChar w:fldCharType="begin"/>
      </w:r>
      <w:r>
        <w:instrText xml:space="preserve"> HYPERLINK "https://www.bcn.cl/leychile/navegar?idNo%EE%80%80rma=1006858" \h </w:instrText>
      </w:r>
      <w:r>
        <w:fldChar w:fldCharType="separate"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fldChar w:fldCharType="end"/>
      </w:r>
      <w:hyperlink r:id="rId4">
        <w:r>
          <w:rPr>
            <w:color w:val="1155CC"/>
            <w:sz w:val="20"/>
            <w:szCs w:val="20"/>
            <w:u w:val="single"/>
          </w:rPr>
          <w:t>https://www.bcn.cl/leychile/navegar?idNorma=1006858</w:t>
        </w:r>
      </w:hyperlink>
      <w:r>
        <w:rPr>
          <w:color w:val="000000"/>
          <w:sz w:val="20"/>
          <w:szCs w:val="20"/>
        </w:rPr>
        <w:t xml:space="preserve"> [consultado el 21 de julio de 2026]. </w:t>
      </w:r>
    </w:p>
  </w:footnote>
  <w:footnote w:id="5">
    <w:p w14:paraId="5A86EFA7" w14:textId="77777777" w:rsidR="00FC7FDC" w:rsidRDefault="00610F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Decreto N° 29 de 2012, Ministerio de Agricultura, Reglamento sobre Protección de los Animales durante su Producción Industrial, su Comercialización y en o</w:t>
      </w:r>
      <w:r>
        <w:rPr>
          <w:color w:val="000000"/>
          <w:sz w:val="20"/>
          <w:szCs w:val="20"/>
        </w:rPr>
        <w:t>tros Recintos de Mantención de Animales, publicado el 24 de mayo de 2013. Texto verificado en Biblioteca del Congreso Nacional,</w:t>
      </w:r>
      <w:r>
        <w:fldChar w:fldCharType="begin"/>
      </w:r>
      <w:r>
        <w:instrText xml:space="preserve"> HYPERLINK "https://www.bcn.cl/leychile/navegar?idNorma=1051298" \h </w:instrText>
      </w:r>
      <w:r>
        <w:fldChar w:fldCharType="separate"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fldChar w:fldCharType="end"/>
      </w:r>
      <w:hyperlink r:id="rId5">
        <w:r>
          <w:rPr>
            <w:color w:val="1155CC"/>
            <w:sz w:val="20"/>
            <w:szCs w:val="20"/>
            <w:u w:val="single"/>
          </w:rPr>
          <w:t>https://www.bcn.cl/leychile/navegar?idNorma=1051298</w:t>
        </w:r>
      </w:hyperlink>
      <w:r>
        <w:rPr>
          <w:color w:val="000000"/>
          <w:sz w:val="20"/>
          <w:szCs w:val="20"/>
        </w:rPr>
        <w:t xml:space="preserve"> [consultado el 21 de julio de 2026]. </w:t>
      </w:r>
    </w:p>
  </w:footnote>
  <w:footnote w:id="6">
    <w:p w14:paraId="05A4B502" w14:textId="77777777" w:rsidR="00FC7FDC" w:rsidRDefault="00610FC2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Organización Mundial de Sanidad Animal (OMSA), </w:t>
      </w:r>
      <w:r>
        <w:rPr>
          <w:i/>
          <w:iCs/>
          <w:sz w:val="20"/>
          <w:szCs w:val="20"/>
        </w:rPr>
        <w:t>Código Sanitario para los Animales Acuáticos</w:t>
      </w:r>
      <w:r>
        <w:rPr>
          <w:sz w:val="20"/>
          <w:szCs w:val="20"/>
        </w:rPr>
        <w:t>, capítulo 7.3, artículo 7.3.1, edición 2024.</w:t>
      </w:r>
    </w:p>
    <w:p w14:paraId="1AC0D151" w14:textId="77777777" w:rsidR="00FC7FDC" w:rsidRDefault="00610FC2">
      <w:pPr>
        <w:spacing w:line="240" w:lineRule="auto"/>
        <w:jc w:val="both"/>
        <w:rPr>
          <w:sz w:val="20"/>
          <w:szCs w:val="20"/>
        </w:rPr>
      </w:pPr>
      <w:hyperlink r:id="rId6">
        <w:r>
          <w:rPr>
            <w:color w:val="1155CC"/>
            <w:sz w:val="20"/>
            <w:szCs w:val="20"/>
            <w:u w:val="single"/>
          </w:rPr>
          <w:t>https://www.woah.org/fileadmin/Home/esp/Health_standards/aahc/current/chapitre_welfare_stunning_killing.pdf</w:t>
        </w:r>
      </w:hyperlink>
      <w:r>
        <w:rPr>
          <w:sz w:val="20"/>
          <w:szCs w:val="20"/>
        </w:rPr>
        <w:t xml:space="preserve"> [consultado el 21 de julio de 2026</w:t>
      </w:r>
      <w:r>
        <w:rPr>
          <w:sz w:val="20"/>
          <w:szCs w:val="20"/>
        </w:rPr>
        <w:t xml:space="preserve">]. </w:t>
      </w:r>
    </w:p>
  </w:footnote>
  <w:footnote w:id="7">
    <w:p w14:paraId="722ABDC1" w14:textId="77777777" w:rsidR="00FC7FDC" w:rsidRDefault="00610FC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Organización Mundial de Sanidad Animal (OMSA), </w:t>
      </w:r>
      <w:r>
        <w:rPr>
          <w:i/>
          <w:iCs/>
          <w:sz w:val="20"/>
          <w:szCs w:val="20"/>
        </w:rPr>
        <w:t>Código Sanitario para los Animales Acuáticos</w:t>
      </w:r>
      <w:r>
        <w:rPr>
          <w:sz w:val="20"/>
          <w:szCs w:val="20"/>
        </w:rPr>
        <w:t>, capítulo 7.3, artículo 7.3.6, apartado 4, edición 2024.</w:t>
      </w:r>
      <w:hyperlink r:id="rId7">
        <w:r>
          <w:rPr>
            <w:sz w:val="20"/>
            <w:szCs w:val="20"/>
          </w:rPr>
          <w:t xml:space="preserve"> </w:t>
        </w:r>
      </w:hyperlink>
      <w:hyperlink r:id="rId8">
        <w:r>
          <w:rPr>
            <w:color w:val="1155CC"/>
            <w:sz w:val="20"/>
            <w:szCs w:val="20"/>
            <w:u w:val="single"/>
          </w:rPr>
          <w:t>https://www.woah.org/fileadmin/Home/esp/Health_standards/aahc/current/chapitre_welfare_stunning_killing.pdf</w:t>
        </w:r>
      </w:hyperlink>
      <w:r>
        <w:rPr>
          <w:sz w:val="20"/>
          <w:szCs w:val="20"/>
        </w:rPr>
        <w:t xml:space="preserve"> [consultado el 21 de julio de 2026]. </w:t>
      </w:r>
    </w:p>
  </w:footnote>
  <w:footnote w:id="8">
    <w:p w14:paraId="6CBE9131" w14:textId="77777777" w:rsidR="00FC7FDC" w:rsidRDefault="00610FC2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La obligación general de aturdimiento (§ 14, primer párrafo) rige desde la </w:t>
      </w:r>
      <w:r>
        <w:rPr>
          <w:sz w:val="20"/>
          <w:szCs w:val="20"/>
        </w:rPr>
        <w:t>entrada en vigencia del reglamento, el 1 de enero de 2007. La prohibición de aturdir mediante gas, incluido el CO₂, u otras sustancias que bloqueen la captación de oxígeno (§ 14, segundo párrafo), fue incorporada por una modificación posterior y entró en v</w:t>
      </w:r>
      <w:r>
        <w:rPr>
          <w:sz w:val="20"/>
          <w:szCs w:val="20"/>
        </w:rPr>
        <w:t xml:space="preserve">igencia el 1 de julio de 2012. </w:t>
      </w:r>
      <w:proofErr w:type="spellStart"/>
      <w:r w:rsidRPr="00F37B34">
        <w:rPr>
          <w:sz w:val="20"/>
          <w:szCs w:val="20"/>
          <w:lang w:val="en-US"/>
        </w:rPr>
        <w:t>Véase</w:t>
      </w:r>
      <w:proofErr w:type="spellEnd"/>
      <w:r w:rsidRPr="00F37B34">
        <w:rPr>
          <w:sz w:val="20"/>
          <w:szCs w:val="20"/>
          <w:lang w:val="en-US"/>
        </w:rPr>
        <w:t xml:space="preserve"> </w:t>
      </w:r>
      <w:proofErr w:type="spellStart"/>
      <w:r w:rsidRPr="00F37B34">
        <w:rPr>
          <w:sz w:val="20"/>
          <w:szCs w:val="20"/>
          <w:lang w:val="en-US"/>
        </w:rPr>
        <w:t>Lovdata</w:t>
      </w:r>
      <w:proofErr w:type="spellEnd"/>
      <w:r w:rsidRPr="00F37B34">
        <w:rPr>
          <w:sz w:val="20"/>
          <w:szCs w:val="20"/>
          <w:lang w:val="en-US"/>
        </w:rPr>
        <w:t xml:space="preserve">, </w:t>
      </w:r>
      <w:proofErr w:type="spellStart"/>
      <w:r w:rsidRPr="00F37B34">
        <w:rPr>
          <w:i/>
          <w:iCs/>
          <w:sz w:val="20"/>
          <w:szCs w:val="20"/>
          <w:lang w:val="en-US"/>
        </w:rPr>
        <w:t>Forskrift</w:t>
      </w:r>
      <w:proofErr w:type="spellEnd"/>
      <w:r w:rsidRPr="00F37B34">
        <w:rPr>
          <w:i/>
          <w:iCs/>
          <w:sz w:val="20"/>
          <w:szCs w:val="20"/>
          <w:lang w:val="en-US"/>
        </w:rPr>
        <w:t xml:space="preserve"> om </w:t>
      </w:r>
      <w:proofErr w:type="spellStart"/>
      <w:r w:rsidRPr="00F37B34">
        <w:rPr>
          <w:i/>
          <w:iCs/>
          <w:sz w:val="20"/>
          <w:szCs w:val="20"/>
          <w:lang w:val="en-US"/>
        </w:rPr>
        <w:t>slakterier</w:t>
      </w:r>
      <w:proofErr w:type="spellEnd"/>
      <w:r w:rsidRPr="00F37B34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F37B34">
        <w:rPr>
          <w:i/>
          <w:iCs/>
          <w:sz w:val="20"/>
          <w:szCs w:val="20"/>
          <w:lang w:val="en-US"/>
        </w:rPr>
        <w:t>og</w:t>
      </w:r>
      <w:proofErr w:type="spellEnd"/>
      <w:r w:rsidRPr="00F37B34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F37B34">
        <w:rPr>
          <w:i/>
          <w:iCs/>
          <w:sz w:val="20"/>
          <w:szCs w:val="20"/>
          <w:lang w:val="en-US"/>
        </w:rPr>
        <w:t>tilvirkingsanlegg</w:t>
      </w:r>
      <w:proofErr w:type="spellEnd"/>
      <w:r w:rsidRPr="00F37B34">
        <w:rPr>
          <w:i/>
          <w:iCs/>
          <w:sz w:val="20"/>
          <w:szCs w:val="20"/>
          <w:lang w:val="en-US"/>
        </w:rPr>
        <w:t xml:space="preserve"> for </w:t>
      </w:r>
      <w:proofErr w:type="spellStart"/>
      <w:r w:rsidRPr="00F37B34">
        <w:rPr>
          <w:i/>
          <w:iCs/>
          <w:sz w:val="20"/>
          <w:szCs w:val="20"/>
          <w:lang w:val="en-US"/>
        </w:rPr>
        <w:t>akvakulturdyr</w:t>
      </w:r>
      <w:proofErr w:type="spellEnd"/>
      <w:r w:rsidRPr="00F37B34">
        <w:rPr>
          <w:sz w:val="20"/>
          <w:szCs w:val="20"/>
          <w:lang w:val="en-US"/>
        </w:rPr>
        <w:t xml:space="preserve"> (FOR-2006-10-30-1250), § 14, y </w:t>
      </w:r>
      <w:proofErr w:type="spellStart"/>
      <w:r w:rsidRPr="00F37B34">
        <w:rPr>
          <w:sz w:val="20"/>
          <w:szCs w:val="20"/>
          <w:lang w:val="en-US"/>
        </w:rPr>
        <w:t>su</w:t>
      </w:r>
      <w:proofErr w:type="spellEnd"/>
      <w:r w:rsidRPr="00F37B34">
        <w:rPr>
          <w:sz w:val="20"/>
          <w:szCs w:val="20"/>
          <w:lang w:val="en-US"/>
        </w:rPr>
        <w:t xml:space="preserve"> </w:t>
      </w:r>
      <w:proofErr w:type="spellStart"/>
      <w:r w:rsidRPr="00F37B34">
        <w:rPr>
          <w:sz w:val="20"/>
          <w:szCs w:val="20"/>
          <w:lang w:val="en-US"/>
        </w:rPr>
        <w:t>modificación</w:t>
      </w:r>
      <w:proofErr w:type="spellEnd"/>
      <w:r w:rsidRPr="00F37B34">
        <w:rPr>
          <w:sz w:val="20"/>
          <w:szCs w:val="20"/>
          <w:lang w:val="en-US"/>
        </w:rPr>
        <w:t xml:space="preserve"> FOR-2008-06-17-826.</w:t>
      </w:r>
      <w:r>
        <w:fldChar w:fldCharType="begin"/>
      </w:r>
      <w:r w:rsidRPr="006B4508">
        <w:rPr>
          <w:lang w:val="en-US"/>
        </w:rPr>
        <w:instrText xml:space="preserve"> HYPERLINK "https://lovdata.no/dokument/SF/forskrift/2006-10-30-1250" \h </w:instrText>
      </w:r>
      <w:r>
        <w:fldChar w:fldCharType="separate"/>
      </w:r>
      <w:r w:rsidRPr="00F37B34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fldChar w:fldCharType="end"/>
      </w:r>
      <w:r>
        <w:fldChar w:fldCharType="begin"/>
      </w:r>
      <w:r w:rsidRPr="006B4508">
        <w:rPr>
          <w:lang w:val="en-US"/>
        </w:rPr>
        <w:instrText xml:space="preserve"> H</w:instrText>
      </w:r>
      <w:r w:rsidRPr="006B4508">
        <w:rPr>
          <w:lang w:val="en-US"/>
        </w:rPr>
        <w:instrText xml:space="preserve">YPERLINK "https://lovdata.no/dokument/SF/forskrift/2006-10-30-1250" \h </w:instrText>
      </w:r>
      <w:r>
        <w:fldChar w:fldCharType="separate"/>
      </w:r>
      <w:r>
        <w:rPr>
          <w:sz w:val="20"/>
          <w:szCs w:val="20"/>
          <w:u w:val="single"/>
        </w:rPr>
        <w:t>https://lovdata.no/dokument/SF/forskrift/2006-10-30-1250</w:t>
      </w:r>
      <w:r>
        <w:rPr>
          <w:sz w:val="20"/>
          <w:szCs w:val="20"/>
          <w:u w:val="single"/>
        </w:rPr>
        <w:fldChar w:fldCharType="end"/>
      </w:r>
      <w:r>
        <w:rPr>
          <w:sz w:val="20"/>
          <w:szCs w:val="20"/>
        </w:rPr>
        <w:t xml:space="preserve"> [consultado el 21 de julio de 2026]. </w:t>
      </w:r>
    </w:p>
  </w:footnote>
  <w:footnote w:id="9">
    <w:p w14:paraId="65D4FD35" w14:textId="77777777" w:rsidR="00FC7FDC" w:rsidRDefault="00610FC2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Vargas, J, "Los desafíos de Chile entre anticiparse o perder competitividad frente a la</w:t>
      </w:r>
      <w:r>
        <w:rPr>
          <w:sz w:val="20"/>
          <w:szCs w:val="20"/>
        </w:rPr>
        <w:t xml:space="preserve"> nueva ley de </w:t>
      </w:r>
      <w:r>
        <w:rPr>
          <w:sz w:val="20"/>
          <w:szCs w:val="20"/>
        </w:rPr>
        <w:t>bienestar animal noruega," InfoSALMON, 4 de febrero de 2026.</w:t>
      </w:r>
    </w:p>
    <w:p w14:paraId="3702D690" w14:textId="77777777" w:rsidR="00FC7FDC" w:rsidRDefault="00610FC2">
      <w:pPr>
        <w:spacing w:line="240" w:lineRule="auto"/>
        <w:jc w:val="both"/>
        <w:rPr>
          <w:sz w:val="20"/>
          <w:szCs w:val="20"/>
        </w:rPr>
      </w:pPr>
      <w:hyperlink r:id="rId9">
        <w:r>
          <w:rPr>
            <w:color w:val="1155CC"/>
            <w:sz w:val="20"/>
            <w:szCs w:val="20"/>
            <w:u w:val="single"/>
          </w:rPr>
          <w:t>https://infosalmon.cl/los-desafios-de-chile-frente-a-la-nueva-ley-d</w:t>
        </w:r>
        <w:r>
          <w:rPr>
            <w:color w:val="1155CC"/>
            <w:sz w:val="20"/>
            <w:szCs w:val="20"/>
            <w:u w:val="single"/>
          </w:rPr>
          <w:t>e-bienestar-animal-noruega/</w:t>
        </w:r>
      </w:hyperlink>
      <w:r>
        <w:rPr>
          <w:sz w:val="20"/>
          <w:szCs w:val="20"/>
        </w:rPr>
        <w:t xml:space="preserve"> [consultado el 21 de julio de 2026] </w:t>
      </w:r>
    </w:p>
  </w:footnote>
  <w:footnote w:id="10">
    <w:p w14:paraId="02EE12E8" w14:textId="77777777" w:rsidR="00FC7FDC" w:rsidRDefault="00610F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 w:rsidRPr="00F37B34">
        <w:rPr>
          <w:color w:val="000000"/>
          <w:sz w:val="20"/>
          <w:szCs w:val="20"/>
          <w:lang w:val="en-US"/>
        </w:rPr>
        <w:t xml:space="preserve"> Aquaculture Stewardship Council, </w:t>
      </w:r>
      <w:r w:rsidRPr="00F37B34">
        <w:rPr>
          <w:i/>
          <w:iCs/>
          <w:color w:val="000000"/>
          <w:sz w:val="20"/>
          <w:szCs w:val="20"/>
          <w:lang w:val="en-US"/>
        </w:rPr>
        <w:t>ASC Farm Standard</w:t>
      </w:r>
      <w:r w:rsidRPr="00F37B34">
        <w:rPr>
          <w:color w:val="000000"/>
          <w:sz w:val="20"/>
          <w:szCs w:val="20"/>
          <w:lang w:val="en-US"/>
        </w:rPr>
        <w:t xml:space="preserve">, </w:t>
      </w:r>
      <w:proofErr w:type="spellStart"/>
      <w:r w:rsidRPr="00F37B34">
        <w:rPr>
          <w:color w:val="000000"/>
          <w:sz w:val="20"/>
          <w:szCs w:val="20"/>
          <w:lang w:val="en-US"/>
        </w:rPr>
        <w:t>Documento</w:t>
      </w:r>
      <w:proofErr w:type="spellEnd"/>
      <w:r w:rsidRPr="00F37B34">
        <w:rPr>
          <w:color w:val="000000"/>
          <w:sz w:val="20"/>
          <w:szCs w:val="20"/>
          <w:lang w:val="en-US"/>
        </w:rPr>
        <w:t xml:space="preserve"> ASC-STD-001, </w:t>
      </w:r>
      <w:proofErr w:type="spellStart"/>
      <w:r w:rsidRPr="00F37B34">
        <w:rPr>
          <w:color w:val="000000"/>
          <w:sz w:val="20"/>
          <w:szCs w:val="20"/>
          <w:lang w:val="en-US"/>
        </w:rPr>
        <w:t>Versión</w:t>
      </w:r>
      <w:proofErr w:type="spellEnd"/>
      <w:r w:rsidRPr="00F37B34">
        <w:rPr>
          <w:color w:val="000000"/>
          <w:sz w:val="20"/>
          <w:szCs w:val="20"/>
          <w:lang w:val="en-US"/>
        </w:rPr>
        <w:t xml:space="preserve"> V1.0.1, 1 de </w:t>
      </w:r>
      <w:proofErr w:type="spellStart"/>
      <w:r w:rsidRPr="00F37B34">
        <w:rPr>
          <w:color w:val="000000"/>
          <w:sz w:val="20"/>
          <w:szCs w:val="20"/>
          <w:lang w:val="en-US"/>
        </w:rPr>
        <w:t>agosto</w:t>
      </w:r>
      <w:proofErr w:type="spellEnd"/>
      <w:r w:rsidRPr="00F37B34">
        <w:rPr>
          <w:color w:val="000000"/>
          <w:sz w:val="20"/>
          <w:szCs w:val="20"/>
          <w:lang w:val="en-US"/>
        </w:rPr>
        <w:t xml:space="preserve"> de 2025, </w:t>
      </w:r>
      <w:proofErr w:type="spellStart"/>
      <w:r w:rsidRPr="00F37B34">
        <w:rPr>
          <w:color w:val="000000"/>
          <w:sz w:val="20"/>
          <w:szCs w:val="20"/>
          <w:lang w:val="en-US"/>
        </w:rPr>
        <w:t>Criterio</w:t>
      </w:r>
      <w:proofErr w:type="spellEnd"/>
      <w:r w:rsidRPr="00F37B34">
        <w:rPr>
          <w:color w:val="000000"/>
          <w:sz w:val="20"/>
          <w:szCs w:val="20"/>
          <w:lang w:val="en-US"/>
        </w:rPr>
        <w:t xml:space="preserve"> 4.1.3 "Fish (including Cleaner Fish), Slaughter and Killing", p. 118</w:t>
      </w:r>
      <w:r w:rsidRPr="00F37B34">
        <w:rPr>
          <w:color w:val="000000"/>
          <w:sz w:val="20"/>
          <w:szCs w:val="20"/>
          <w:lang w:val="en-US"/>
        </w:rPr>
        <w:t>.</w:t>
      </w:r>
      <w:r>
        <w:fldChar w:fldCharType="begin"/>
      </w:r>
      <w:r w:rsidRPr="006B4508">
        <w:rPr>
          <w:lang w:val="en-US"/>
        </w:rPr>
        <w:instrText xml:space="preserve"> HYPERLINK "https://programme-centre.asc-aqua.org/app/uploads/2025/08/ASC-STD-001-ASC-Farm-Standard-V1.0.1-Aug-2025.pdf" \h </w:instrText>
      </w:r>
      <w:r>
        <w:fldChar w:fldCharType="separate"/>
      </w:r>
      <w:r w:rsidRPr="00F37B34">
        <w:rPr>
          <w:color w:val="000000"/>
          <w:sz w:val="20"/>
          <w:szCs w:val="20"/>
          <w:lang w:val="en-US"/>
        </w:rPr>
        <w:t xml:space="preserve"> </w:t>
      </w:r>
      <w:r>
        <w:rPr>
          <w:color w:val="000000"/>
          <w:sz w:val="20"/>
          <w:szCs w:val="20"/>
          <w:lang w:val="en-US"/>
        </w:rPr>
        <w:fldChar w:fldCharType="end"/>
      </w:r>
      <w:r>
        <w:fldChar w:fldCharType="begin"/>
      </w:r>
      <w:r w:rsidRPr="006B4508">
        <w:rPr>
          <w:lang w:val="en-US"/>
        </w:rPr>
        <w:instrText xml:space="preserve"> HYPERLINK "https://programme-centre.asc-aqua.org/app/uploads/2025/08/ASC-STD-001-ASC-Farm-Standard-V1.0.1-Aug-2025.pdf" \h </w:instrText>
      </w:r>
      <w:r>
        <w:fldChar w:fldCharType="separate"/>
      </w:r>
      <w:r>
        <w:rPr>
          <w:color w:val="1155CC"/>
          <w:sz w:val="20"/>
          <w:szCs w:val="20"/>
          <w:u w:val="single"/>
        </w:rPr>
        <w:t>https://programme-centre.asc-aqua.org/app/uploads/2025/08/ASC-STD-001-ASC-Farm-Standard-V1.0.1-Aug-2025.pdf</w:t>
      </w:r>
      <w:r>
        <w:rPr>
          <w:color w:val="1155CC"/>
          <w:sz w:val="20"/>
          <w:szCs w:val="20"/>
          <w:u w:val="single"/>
        </w:rPr>
        <w:fldChar w:fldCharType="end"/>
      </w:r>
      <w:r>
        <w:rPr>
          <w:color w:val="000000"/>
          <w:sz w:val="20"/>
          <w:szCs w:val="20"/>
        </w:rPr>
        <w:t xml:space="preserve"> [consultado el 21 de julio de 2026]. </w:t>
      </w:r>
    </w:p>
  </w:footnote>
  <w:footnote w:id="11">
    <w:p w14:paraId="0257F16D" w14:textId="77777777" w:rsidR="00FC7FDC" w:rsidRDefault="00610F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Global Seafood Alliance, </w:t>
      </w:r>
      <w:r>
        <w:rPr>
          <w:i/>
          <w:iCs/>
          <w:color w:val="000000"/>
          <w:sz w:val="20"/>
          <w:szCs w:val="20"/>
        </w:rPr>
        <w:t>BAP Salmon Farm Standard</w:t>
      </w:r>
      <w:r>
        <w:rPr>
          <w:color w:val="000000"/>
          <w:sz w:val="20"/>
          <w:szCs w:val="20"/>
        </w:rPr>
        <w:t xml:space="preserve">, Edición 2.4, 7 de febrero de 2023 (norma actualmente </w:t>
      </w:r>
      <w:r>
        <w:rPr>
          <w:color w:val="000000"/>
          <w:sz w:val="20"/>
          <w:szCs w:val="20"/>
        </w:rPr>
        <w:t>exigible; la Edición 3.0 entra en vigencia el 5 de agosto de 2026).</w:t>
      </w:r>
      <w:r>
        <w:fldChar w:fldCharType="begin"/>
      </w:r>
      <w:r>
        <w:instrText xml:space="preserve"> HYPERLINK "https://www.bapcertification.org/Standards" \h </w:instrText>
      </w:r>
      <w:r>
        <w:fldChar w:fldCharType="separate"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fldChar w:fldCharType="end"/>
      </w:r>
      <w:hyperlink r:id="rId10">
        <w:r>
          <w:rPr>
            <w:color w:val="1155CC"/>
            <w:sz w:val="20"/>
            <w:szCs w:val="20"/>
            <w:u w:val="single"/>
          </w:rPr>
          <w:t>https://www.bapcertification.org/Standards</w:t>
        </w:r>
      </w:hyperlink>
      <w:r>
        <w:rPr>
          <w:color w:val="000000"/>
          <w:sz w:val="20"/>
          <w:szCs w:val="20"/>
        </w:rPr>
        <w:t xml:space="preserve"> [consultado el 21 de </w:t>
      </w:r>
      <w:r>
        <w:rPr>
          <w:color w:val="000000"/>
          <w:sz w:val="20"/>
          <w:szCs w:val="20"/>
        </w:rPr>
        <w:t xml:space="preserve">julio de 2026]. </w:t>
      </w:r>
    </w:p>
  </w:footnote>
  <w:footnote w:id="12">
    <w:p w14:paraId="02D59D59" w14:textId="77777777" w:rsidR="00FC7FDC" w:rsidRDefault="00610FC2">
      <w:pP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Consejo del Salmón, "Exportaciones de salmón en 2025 confirman escenario de estancamiento productivo," febrero de 2026.</w:t>
      </w:r>
      <w:r>
        <w:fldChar w:fldCharType="begin"/>
      </w:r>
      <w:r>
        <w:instrText xml:space="preserve"> HYPERLINK "https://www.consejodelsalmon.cl/exportaciones-de-salmon-en-2025-confirman-escenario-de-estancamiento-pro</w:instrText>
      </w:r>
      <w:r>
        <w:instrText xml:space="preserve">ductivo/" \h </w:instrText>
      </w:r>
      <w:r>
        <w:fldChar w:fldCharType="separate"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fldChar w:fldCharType="end"/>
      </w:r>
      <w:hyperlink r:id="rId11">
        <w:r>
          <w:rPr>
            <w:color w:val="1155CC"/>
            <w:sz w:val="20"/>
            <w:szCs w:val="20"/>
            <w:u w:val="single"/>
          </w:rPr>
          <w:t>https://www.consejodelsalmon.cl/exportaciones-de-salmon-en-2025-confirman-escenario-de-estancamiento-producti</w:t>
        </w:r>
        <w:r>
          <w:rPr>
            <w:color w:val="1155CC"/>
            <w:sz w:val="20"/>
            <w:szCs w:val="20"/>
            <w:u w:val="single"/>
          </w:rPr>
          <w:t>vo/</w:t>
        </w:r>
      </w:hyperlink>
      <w:r>
        <w:rPr>
          <w:color w:val="000000"/>
          <w:sz w:val="20"/>
          <w:szCs w:val="20"/>
        </w:rPr>
        <w:t xml:space="preserve"> [consultado el 21 de julio de 2026]. </w:t>
      </w:r>
    </w:p>
  </w:footnote>
  <w:footnote w:id="13">
    <w:p w14:paraId="58021307" w14:textId="77777777" w:rsidR="00FC7FDC" w:rsidRDefault="00610F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 w:rsidRPr="00F37B34">
        <w:rPr>
          <w:color w:val="000000"/>
          <w:sz w:val="20"/>
          <w:szCs w:val="20"/>
          <w:lang w:val="en-US"/>
        </w:rPr>
        <w:t xml:space="preserve"> Fish Farming Expert, "Salmon buyers 'discover' Chile on ASC's farm to fork tour," 18 de </w:t>
      </w:r>
      <w:proofErr w:type="spellStart"/>
      <w:r w:rsidRPr="00F37B34">
        <w:rPr>
          <w:color w:val="000000"/>
          <w:sz w:val="20"/>
          <w:szCs w:val="20"/>
          <w:lang w:val="en-US"/>
        </w:rPr>
        <w:t>diciembre</w:t>
      </w:r>
      <w:proofErr w:type="spellEnd"/>
      <w:r w:rsidRPr="00F37B34">
        <w:rPr>
          <w:color w:val="000000"/>
          <w:sz w:val="20"/>
          <w:szCs w:val="20"/>
          <w:lang w:val="en-US"/>
        </w:rPr>
        <w:t xml:space="preserve"> de 2024.</w:t>
      </w:r>
      <w:hyperlink r:id="rId12">
        <w:r w:rsidRPr="00F37B34">
          <w:rPr>
            <w:color w:val="000000"/>
            <w:sz w:val="20"/>
            <w:szCs w:val="20"/>
            <w:lang w:val="en-US"/>
          </w:rPr>
          <w:t xml:space="preserve"> </w:t>
        </w:r>
      </w:hyperlink>
      <w:hyperlink r:id="rId13">
        <w:r>
          <w:rPr>
            <w:color w:val="1155CC"/>
            <w:sz w:val="20"/>
            <w:szCs w:val="20"/>
            <w:u w:val="single"/>
          </w:rPr>
          <w:t>https://www.fishfarming</w:t>
        </w:r>
        <w:r>
          <w:rPr>
            <w:color w:val="1155CC"/>
            <w:sz w:val="20"/>
            <w:szCs w:val="20"/>
            <w:u w:val="single"/>
          </w:rPr>
          <w:t>expert.com/aquaculture-stewardship-council-chile-discovery-tour/salmon-buyers-discover-chile-on-ascs-farm-to-fork-tour/1868643</w:t>
        </w:r>
      </w:hyperlink>
      <w:r>
        <w:rPr>
          <w:color w:val="000000"/>
          <w:sz w:val="20"/>
          <w:szCs w:val="20"/>
        </w:rPr>
        <w:t xml:space="preserve"> [consultado el 21 de julio de 2026]. </w:t>
      </w:r>
    </w:p>
  </w:footnote>
  <w:footnote w:id="14">
    <w:p w14:paraId="62A0D27E" w14:textId="77777777" w:rsidR="00FC7FDC" w:rsidRDefault="00610FC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 w:rsidRPr="00F37B34">
        <w:rPr>
          <w:sz w:val="20"/>
          <w:szCs w:val="20"/>
          <w:lang w:val="en-US"/>
        </w:rPr>
        <w:t xml:space="preserve"> Aquaculture Advisory Council (AAC), "Letter on delayed EFSA farmed finfish and invertebra</w:t>
      </w:r>
      <w:r w:rsidRPr="00F37B34">
        <w:rPr>
          <w:sz w:val="20"/>
          <w:szCs w:val="20"/>
          <w:lang w:val="en-US"/>
        </w:rPr>
        <w:t>te mandates and animal welfare revision," mayo de 2025.</w:t>
      </w:r>
      <w:r>
        <w:fldChar w:fldCharType="begin"/>
      </w:r>
      <w:r w:rsidRPr="006B4508">
        <w:rPr>
          <w:lang w:val="en-US"/>
        </w:rPr>
        <w:instrText xml:space="preserve"> HYPERLINK "https://aac-europe.org/wp-content/uploads/2025/05/AAC-letter-on-delayed-EFSA-farmed-finfish-and-invertebrate-mandates-and-animal-welfare-revision.pdf" \h </w:instrText>
      </w:r>
      <w:r>
        <w:fldChar w:fldCharType="separate"/>
      </w:r>
      <w:r w:rsidRPr="00F37B34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fldChar w:fldCharType="end"/>
      </w:r>
      <w:hyperlink r:id="rId14">
        <w:r>
          <w:rPr>
            <w:color w:val="1155CC"/>
            <w:sz w:val="20"/>
            <w:szCs w:val="20"/>
            <w:u w:val="single"/>
          </w:rPr>
          <w:t>https://aac-europe.org/wp-content/uploads/2025/05/AAC-letter-on-delayed-EFSA-farmed-finfish-and-invertebrate-mandates-</w:t>
        </w:r>
        <w:r>
          <w:rPr>
            <w:color w:val="1155CC"/>
            <w:sz w:val="20"/>
            <w:szCs w:val="20"/>
            <w:u w:val="single"/>
          </w:rPr>
          <w:t>and-animal-welfare-revision.pdf</w:t>
        </w:r>
      </w:hyperlink>
      <w:r>
        <w:rPr>
          <w:sz w:val="20"/>
          <w:szCs w:val="20"/>
        </w:rPr>
        <w:t xml:space="preserve"> [consultado el 21 de julio de 2026]. </w:t>
      </w:r>
    </w:p>
  </w:footnote>
  <w:footnote w:id="15">
    <w:p w14:paraId="4EB8126D" w14:textId="77777777" w:rsidR="00FC7FDC" w:rsidRDefault="00610F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 w:rsidRPr="00F37B34">
        <w:rPr>
          <w:color w:val="000000"/>
          <w:sz w:val="20"/>
          <w:szCs w:val="20"/>
          <w:lang w:val="en-US"/>
        </w:rPr>
        <w:t xml:space="preserve"> Giménez, B., et al., "Development of Welfare Protocols at Slaughter in Farmed Fish," </w:t>
      </w:r>
      <w:r w:rsidRPr="00F37B34">
        <w:rPr>
          <w:i/>
          <w:iCs/>
          <w:color w:val="000000"/>
          <w:sz w:val="20"/>
          <w:szCs w:val="20"/>
          <w:lang w:val="en-US"/>
        </w:rPr>
        <w:t>Animals</w:t>
      </w:r>
      <w:r w:rsidRPr="00F37B34">
        <w:rPr>
          <w:color w:val="000000"/>
          <w:sz w:val="20"/>
          <w:szCs w:val="20"/>
          <w:lang w:val="en-US"/>
        </w:rPr>
        <w:t xml:space="preserve"> (MDPI), vol. 14, 2024.</w:t>
      </w:r>
      <w:r>
        <w:fldChar w:fldCharType="begin"/>
      </w:r>
      <w:r w:rsidRPr="006B4508">
        <w:rPr>
          <w:lang w:val="en-US"/>
        </w:rPr>
        <w:instrText xml:space="preserve"> HYPERLINK "https://pmc.ncbi.nlm.nih.gov/articles/PMC11428536/" \h </w:instrText>
      </w:r>
      <w:r>
        <w:fldChar w:fldCharType="separate"/>
      </w:r>
      <w:r w:rsidRPr="00F37B34">
        <w:rPr>
          <w:color w:val="000000"/>
          <w:sz w:val="20"/>
          <w:szCs w:val="20"/>
          <w:lang w:val="en-US"/>
        </w:rPr>
        <w:t xml:space="preserve"> </w:t>
      </w:r>
      <w:r>
        <w:rPr>
          <w:color w:val="000000"/>
          <w:sz w:val="20"/>
          <w:szCs w:val="20"/>
          <w:lang w:val="en-US"/>
        </w:rPr>
        <w:fldChar w:fldCharType="end"/>
      </w:r>
      <w:hyperlink r:id="rId15">
        <w:r>
          <w:rPr>
            <w:color w:val="1155CC"/>
            <w:sz w:val="20"/>
            <w:szCs w:val="20"/>
            <w:u w:val="single"/>
          </w:rPr>
          <w:t>https://pmc.ncbi.nlm.nih.gov/articles/PMC11428536/</w:t>
        </w:r>
      </w:hyperlink>
      <w:r>
        <w:rPr>
          <w:color w:val="000000"/>
          <w:sz w:val="20"/>
          <w:szCs w:val="20"/>
        </w:rPr>
        <w:t xml:space="preserve"> [consultado el 21 de julio de 2026]. </w:t>
      </w:r>
    </w:p>
  </w:footnote>
  <w:footnote w:id="16">
    <w:p w14:paraId="06A7B399" w14:textId="77777777" w:rsidR="00FC7FDC" w:rsidRDefault="00610F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Panel ciudadano UDD. “</w:t>
      </w:r>
      <w:r>
        <w:rPr>
          <w:i/>
          <w:iCs/>
          <w:sz w:val="20"/>
          <w:szCs w:val="20"/>
        </w:rPr>
        <w:t>Encuesta Bienestar Animales Acuáticos Parte 2</w:t>
      </w:r>
      <w:r>
        <w:rPr>
          <w:sz w:val="20"/>
          <w:szCs w:val="20"/>
        </w:rPr>
        <w:t xml:space="preserve">”, noviembre de 2025. </w:t>
      </w:r>
      <w:r>
        <w:rPr>
          <w:sz w:val="20"/>
          <w:szCs w:val="20"/>
        </w:rPr>
        <w:t>Disponible en:</w:t>
      </w:r>
      <w:r>
        <w:rPr>
          <w:color w:val="1155CC"/>
          <w:sz w:val="20"/>
          <w:szCs w:val="20"/>
        </w:rPr>
        <w:t xml:space="preserve"> </w:t>
      </w:r>
      <w:hyperlink r:id="rId16">
        <w:r>
          <w:rPr>
            <w:color w:val="1155CC"/>
            <w:sz w:val="20"/>
            <w:szCs w:val="20"/>
            <w:u w:val="single"/>
          </w:rPr>
          <w:t>https://aquaticwelfare.org/encuesta</w:t>
        </w:r>
      </w:hyperlink>
      <w:r>
        <w:rPr>
          <w:color w:val="1155CC"/>
          <w:sz w:val="20"/>
          <w:szCs w:val="20"/>
          <w:u w:val="single"/>
        </w:rPr>
        <w:t>/2025</w:t>
      </w:r>
      <w:r>
        <w:rPr>
          <w:color w:val="1155CC"/>
          <w:sz w:val="20"/>
          <w:szCs w:val="20"/>
        </w:rPr>
        <w:t xml:space="preserve"> </w:t>
      </w:r>
      <w:r>
        <w:rPr>
          <w:sz w:val="20"/>
          <w:szCs w:val="20"/>
        </w:rPr>
        <w:t>[consultado el 22 de julio de 2026]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DC"/>
    <w:rsid w:val="00023CE9"/>
    <w:rsid w:val="00212F75"/>
    <w:rsid w:val="002F4B26"/>
    <w:rsid w:val="00610FC2"/>
    <w:rsid w:val="006B4508"/>
    <w:rsid w:val="00AC3FFA"/>
    <w:rsid w:val="00C30199"/>
    <w:rsid w:val="00F269B8"/>
    <w:rsid w:val="00F37B34"/>
    <w:rsid w:val="00FC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662EAFA"/>
  <w15:docId w15:val="{4CC5A0F1-B1B3-E144-A1A2-2435D031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-CL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ah.org/fileadmin/Home/esp/%EE%80%80Health_standards/aahc/current/chapitre_w%EE%80%80elfare_stunning_killing.pdf" TargetMode="External"/><Relationship Id="rId13" Type="http://schemas.openxmlformats.org/officeDocument/2006/relationships/hyperlink" Target="https://www.fishfarmingexpert.com/aquaculture-stewardship-council-chile-discovery-tour/salmon-buyers-discover-chile-on-ascs-farm-to-fork-tour/1868643" TargetMode="External"/><Relationship Id="rId3" Type="http://schemas.openxmlformats.org/officeDocument/2006/relationships/hyperlink" Target="https://www.bcn.cl/leychile/navegar?idNorma=1012014" TargetMode="External"/><Relationship Id="rId7" Type="http://schemas.openxmlformats.org/officeDocument/2006/relationships/hyperlink" Target="https://www.woah.org/fileadmin/Home/esp/%EE%80%80Health_standards/aahc/current/chapitre_w%EE%80%80elfare_stunning_killing.pdf" TargetMode="External"/><Relationship Id="rId12" Type="http://schemas.openxmlformats.org/officeDocument/2006/relationships/hyperlink" Target="https://www.fishfarmingexpert.com/aquaculture-stewardship-council-chile-discovery-tour/salmon-buyers-discover-chile-on-ascs-farm-to-fork-tour/1868643" TargetMode="External"/><Relationship Id="rId2" Type="http://schemas.openxmlformats.org/officeDocument/2006/relationships/hyperlink" Target="https://www.consejodelsalmon.cl/exportaciones-de-salmon-en-2025-confirman-escenario-de-estancamiento-productivo/" TargetMode="External"/><Relationship Id="rId16" Type="http://schemas.openxmlformats.org/officeDocument/2006/relationships/hyperlink" Target="https://aquaticwelfare.org/encuesta" TargetMode="External"/><Relationship Id="rId1" Type="http://schemas.openxmlformats.org/officeDocument/2006/relationships/hyperlink" Target="https://www.sernapesca.cl/informacion-utilidad/anuarios-estadisticos-de-pesca-y-acuicultura/" TargetMode="External"/><Relationship Id="rId6" Type="http://schemas.openxmlformats.org/officeDocument/2006/relationships/hyperlink" Target="https://www.woah.org/fileadmin/Home/esp/Health_standards/aahc/current/chapitre_welfare_stunning_killing.pdf" TargetMode="External"/><Relationship Id="rId11" Type="http://schemas.openxmlformats.org/officeDocument/2006/relationships/hyperlink" Target="https://www.consejodelsalmon.cl/exportaciones-de-salmon-en-2025-confirman-escenario-de-estancamiento-productivo/" TargetMode="External"/><Relationship Id="rId5" Type="http://schemas.openxmlformats.org/officeDocument/2006/relationships/hyperlink" Target="https://www.bcn.cl/leychile/navegar?idNorma=1051298" TargetMode="External"/><Relationship Id="rId15" Type="http://schemas.openxmlformats.org/officeDocument/2006/relationships/hyperlink" Target="https://pmc.ncbi.nlm.nih.gov/articles/PMC11428536/" TargetMode="External"/><Relationship Id="rId10" Type="http://schemas.openxmlformats.org/officeDocument/2006/relationships/hyperlink" Target="https://www.bapcertification.org/Standards" TargetMode="External"/><Relationship Id="rId4" Type="http://schemas.openxmlformats.org/officeDocument/2006/relationships/hyperlink" Target="https://www.bcn.cl/leychile/navegar?idNo%EE%80%80rma=1006858" TargetMode="External"/><Relationship Id="rId9" Type="http://schemas.openxmlformats.org/officeDocument/2006/relationships/hyperlink" Target="https://infosalmon.cl/los-desafios-de-chile-frente-a-la-nueva-ley-de-bienestar-animal-noruega/" TargetMode="External"/><Relationship Id="rId14" Type="http://schemas.openxmlformats.org/officeDocument/2006/relationships/hyperlink" Target="https://aac-europe.org/wp-content/uploads/2025/05/AAC-letter-on-delayed-EFSA-farmed-finfish-and-invertebrate-mandates-and-animal-welfare-revis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1641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2026-07-24T19:54:00Z</dcterms:created>
  <dcterms:modified xsi:type="dcterms:W3CDTF">2026-07-24T19:54:00Z</dcterms:modified>
</cp:coreProperties>
</file>